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bottom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638"/>
      </w:tblGrid>
      <w:tr w:rsidR="00DE60DE" w:rsidRPr="007A03B6" w14:paraId="5EF029B9" w14:textId="77777777" w:rsidTr="00E728B1">
        <w:trPr>
          <w:trHeight w:val="2835"/>
        </w:trPr>
        <w:tc>
          <w:tcPr>
            <w:tcW w:w="9638" w:type="dxa"/>
          </w:tcPr>
          <w:p w14:paraId="1AB64E8D" w14:textId="77777777" w:rsidR="00DE60DE" w:rsidRPr="007A03B6" w:rsidRDefault="00DE60DE" w:rsidP="00702A7E"/>
        </w:tc>
      </w:tr>
      <w:tr w:rsidR="00DE60DE" w:rsidRPr="007A03B6" w14:paraId="15304B9D" w14:textId="77777777" w:rsidTr="003E0A16">
        <w:trPr>
          <w:trHeight w:val="6066"/>
        </w:trPr>
        <w:tc>
          <w:tcPr>
            <w:tcW w:w="9638" w:type="dxa"/>
          </w:tcPr>
          <w:p w14:paraId="3E7D8861" w14:textId="1413E793" w:rsidR="00DE60DE" w:rsidRPr="007A03B6" w:rsidRDefault="00BF3051" w:rsidP="00DE60DE">
            <w:pPr>
              <w:pStyle w:val="Untertitel"/>
            </w:pPr>
            <w:r>
              <w:t>Documentation</w:t>
            </w:r>
          </w:p>
          <w:sdt>
            <w:sdtPr>
              <w:alias w:val="Title"/>
              <w:tag w:val="Title"/>
              <w:id w:val="1653328826"/>
              <w:placeholder>
                <w:docPart w:val="C4DE6199CD4A48C594EA8AA24B9CD05C"/>
              </w:placeholder>
            </w:sdtPr>
            <w:sdtContent>
              <w:p w14:paraId="70E5D9D6" w14:textId="719A80BC" w:rsidR="00DE60DE" w:rsidRPr="007A03B6" w:rsidRDefault="00BF3051" w:rsidP="000E36F2">
                <w:pPr>
                  <w:pStyle w:val="DocTitle"/>
                </w:pPr>
                <w:r w:rsidRPr="00BF3051">
                  <w:t>Synchronization of Provider</w:t>
                </w:r>
                <w:r w:rsidR="005F4A22">
                  <w:t>,</w:t>
                </w:r>
                <w:r w:rsidRPr="00BF3051">
                  <w:t xml:space="preserve"> Applications</w:t>
                </w:r>
                <w:r w:rsidR="005F4A22">
                  <w:t xml:space="preserve"> &amp; Interface Requests</w:t>
                </w:r>
                <w:r w:rsidRPr="00BF3051">
                  <w:t xml:space="preserve"> via </w:t>
                </w:r>
                <w:r w:rsidR="00651A50">
                  <w:t>SAP LeanIX</w:t>
                </w:r>
                <w:r w:rsidRPr="00BF3051">
                  <w:t xml:space="preserve"> and </w:t>
                </w:r>
                <w:r w:rsidR="00651A50">
                  <w:t xml:space="preserve">SAP </w:t>
                </w:r>
                <w:r w:rsidRPr="00BF3051">
                  <w:t xml:space="preserve">Integration </w:t>
                </w:r>
                <w:r w:rsidR="00651A50">
                  <w:t>Suite</w:t>
                </w:r>
              </w:p>
            </w:sdtContent>
          </w:sdt>
          <w:p w14:paraId="3CE2D676" w14:textId="034899FD" w:rsidR="00DE60DE" w:rsidRPr="007A03B6" w:rsidRDefault="00BF3051" w:rsidP="00DE60DE">
            <w:pPr>
              <w:pStyle w:val="Untertitel"/>
            </w:pPr>
            <w:r>
              <w:t>SAP Integration Package</w:t>
            </w:r>
          </w:p>
          <w:p w14:paraId="6C8A6ACE" w14:textId="77A0052E" w:rsidR="00DE60DE" w:rsidRPr="007A03B6" w:rsidRDefault="00DE60DE" w:rsidP="00702A7E"/>
        </w:tc>
      </w:tr>
      <w:tr w:rsidR="00DE60DE" w:rsidRPr="007A03B6" w14:paraId="1643B2DF" w14:textId="77777777" w:rsidTr="003E0A16">
        <w:trPr>
          <w:trHeight w:val="1361"/>
        </w:trPr>
        <w:tc>
          <w:tcPr>
            <w:tcW w:w="9638" w:type="dxa"/>
          </w:tcPr>
          <w:p w14:paraId="78D1735D" w14:textId="77777777" w:rsidR="00DE60DE" w:rsidRPr="007A03B6" w:rsidRDefault="00DE60DE" w:rsidP="00702A7E"/>
        </w:tc>
      </w:tr>
      <w:tr w:rsidR="00DE60DE" w:rsidRPr="007A03B6" w14:paraId="15BA4289" w14:textId="77777777" w:rsidTr="00AC2178">
        <w:tc>
          <w:tcPr>
            <w:tcW w:w="9638" w:type="dxa"/>
          </w:tcPr>
          <w:p w14:paraId="3E31C0B2" w14:textId="3AF4F4A5" w:rsidR="00DE60DE" w:rsidRPr="007A03B6" w:rsidRDefault="00DE60DE" w:rsidP="00DE60DE">
            <w:pPr>
              <w:pStyle w:val="Untertitel"/>
            </w:pPr>
            <w:r w:rsidRPr="007A03B6">
              <w:fldChar w:fldCharType="begin"/>
            </w:r>
            <w:r w:rsidRPr="007A03B6">
              <w:instrText xml:space="preserve"> DATE  \@ "d MMMM yyyy"  \* MERGEFORMAT </w:instrText>
            </w:r>
            <w:r w:rsidRPr="007A03B6">
              <w:fldChar w:fldCharType="separate"/>
            </w:r>
            <w:r w:rsidR="004A432C">
              <w:rPr>
                <w:noProof/>
              </w:rPr>
              <w:t>20 August 2024</w:t>
            </w:r>
            <w:r w:rsidRPr="007A03B6">
              <w:fldChar w:fldCharType="end"/>
            </w:r>
            <w:r w:rsidRPr="007A03B6">
              <w:t xml:space="preserve"> | Document Version </w:t>
            </w:r>
            <w:r w:rsidR="00BF3051">
              <w:t>1.</w:t>
            </w:r>
            <w:r w:rsidR="005F4A22">
              <w:t>1.0</w:t>
            </w:r>
          </w:p>
        </w:tc>
      </w:tr>
      <w:tr w:rsidR="00DE60DE" w:rsidRPr="007A03B6" w14:paraId="436BC960" w14:textId="77777777" w:rsidTr="00AC2178">
        <w:tc>
          <w:tcPr>
            <w:tcW w:w="9638" w:type="dxa"/>
          </w:tcPr>
          <w:p w14:paraId="25973B64" w14:textId="53DB4931" w:rsidR="00DE60DE" w:rsidRPr="007A03B6" w:rsidRDefault="00BF3051" w:rsidP="00DE60DE">
            <w:pPr>
              <w:pStyle w:val="Untertitel"/>
            </w:pPr>
            <w:r>
              <w:t>NTT Data Business Solutions AG</w:t>
            </w:r>
          </w:p>
          <w:p w14:paraId="35CE38F4" w14:textId="77777777" w:rsidR="00DE60DE" w:rsidRPr="007A03B6" w:rsidRDefault="00DE60DE" w:rsidP="00DE60DE"/>
        </w:tc>
      </w:tr>
      <w:tr w:rsidR="00DE60DE" w:rsidRPr="007A03B6" w14:paraId="76181C63" w14:textId="77777777" w:rsidTr="00AC2178">
        <w:tc>
          <w:tcPr>
            <w:tcW w:w="9638" w:type="dxa"/>
          </w:tcPr>
          <w:p w14:paraId="19192E76" w14:textId="77777777" w:rsidR="00DE60DE" w:rsidRPr="007A03B6" w:rsidRDefault="00DE60DE" w:rsidP="00702A7E"/>
        </w:tc>
      </w:tr>
    </w:tbl>
    <w:p w14:paraId="1605F2A9" w14:textId="77777777" w:rsidR="00824EC5" w:rsidRPr="007A03B6" w:rsidRDefault="00824EC5" w:rsidP="00E55EA1">
      <w:pPr>
        <w:sectPr w:rsidR="00824EC5" w:rsidRPr="007A03B6" w:rsidSect="00021EDF">
          <w:headerReference w:type="default" r:id="rId11"/>
          <w:footerReference w:type="default" r:id="rId12"/>
          <w:headerReference w:type="first" r:id="rId13"/>
          <w:footerReference w:type="first" r:id="rId14"/>
          <w:pgSz w:w="11906" w:h="16838"/>
          <w:pgMar w:top="1702" w:right="1134" w:bottom="1134" w:left="1134" w:header="709" w:footer="709" w:gutter="0"/>
          <w:cols w:space="708"/>
          <w:titlePg/>
          <w:docGrid w:linePitch="360"/>
        </w:sectPr>
      </w:pPr>
    </w:p>
    <w:sdt>
      <w:sdtPr>
        <w:rPr>
          <w:rFonts w:ascii="Arial" w:eastAsiaTheme="minorHAnsi" w:hAnsi="Arial" w:cstheme="minorBidi"/>
          <w:color w:val="auto"/>
          <w:sz w:val="20"/>
          <w:szCs w:val="24"/>
        </w:rPr>
        <w:id w:val="-1695986694"/>
        <w:docPartObj>
          <w:docPartGallery w:val="Table of Contents"/>
          <w:docPartUnique/>
        </w:docPartObj>
      </w:sdtPr>
      <w:sdtEndPr>
        <w:rPr>
          <w:b/>
          <w:bCs/>
        </w:rPr>
      </w:sdtEndPr>
      <w:sdtContent>
        <w:p w14:paraId="7D3AF80F" w14:textId="77777777" w:rsidR="000E36F2" w:rsidRPr="007A03B6" w:rsidRDefault="000E36F2" w:rsidP="000E36F2">
          <w:pPr>
            <w:pStyle w:val="Inhaltsverzeichnisberschrift"/>
          </w:pPr>
          <w:r w:rsidRPr="008923D1">
            <w:t>Contents</w:t>
          </w:r>
        </w:p>
        <w:p w14:paraId="217AD8C6" w14:textId="48763CDA" w:rsidR="004A432C" w:rsidRDefault="00C42417">
          <w:pPr>
            <w:pStyle w:val="Verzeichnis1"/>
            <w:rPr>
              <w:b w:val="0"/>
              <w:color w:val="auto"/>
              <w:lang w:val="de-DE" w:eastAsia="zh-CN"/>
            </w:rPr>
          </w:pPr>
          <w:r>
            <w:rPr>
              <w:color w:val="0072BC" w:themeColor="background2"/>
            </w:rPr>
            <w:fldChar w:fldCharType="begin"/>
          </w:r>
          <w:r>
            <w:rPr>
              <w:color w:val="0072BC" w:themeColor="background2"/>
            </w:rPr>
            <w:instrText xml:space="preserve"> TOC \o "1-5" \h \z \u </w:instrText>
          </w:r>
          <w:r>
            <w:rPr>
              <w:color w:val="0072BC" w:themeColor="background2"/>
            </w:rPr>
            <w:fldChar w:fldCharType="separate"/>
          </w:r>
          <w:hyperlink w:anchor="_Toc175042881" w:history="1">
            <w:r w:rsidR="004A432C" w:rsidRPr="009422CE">
              <w:rPr>
                <w:rStyle w:val="Hyperlink"/>
              </w:rPr>
              <w:t>1.</w:t>
            </w:r>
            <w:r w:rsidR="004A432C">
              <w:rPr>
                <w:b w:val="0"/>
                <w:color w:val="auto"/>
                <w:lang w:val="de-DE" w:eastAsia="zh-CN"/>
              </w:rPr>
              <w:tab/>
            </w:r>
            <w:r w:rsidR="004A432C" w:rsidRPr="009422CE">
              <w:rPr>
                <w:rStyle w:val="Hyperlink"/>
              </w:rPr>
              <w:t>Overview &amp; Introduction</w:t>
            </w:r>
            <w:r w:rsidR="004A432C">
              <w:rPr>
                <w:webHidden/>
              </w:rPr>
              <w:tab/>
            </w:r>
            <w:r w:rsidR="004A432C">
              <w:rPr>
                <w:webHidden/>
              </w:rPr>
              <w:fldChar w:fldCharType="begin"/>
            </w:r>
            <w:r w:rsidR="004A432C">
              <w:rPr>
                <w:webHidden/>
              </w:rPr>
              <w:instrText xml:space="preserve"> PAGEREF _Toc175042881 \h </w:instrText>
            </w:r>
            <w:r w:rsidR="004A432C">
              <w:rPr>
                <w:webHidden/>
              </w:rPr>
            </w:r>
            <w:r w:rsidR="004A432C">
              <w:rPr>
                <w:webHidden/>
              </w:rPr>
              <w:fldChar w:fldCharType="separate"/>
            </w:r>
            <w:r w:rsidR="004A432C">
              <w:rPr>
                <w:webHidden/>
              </w:rPr>
              <w:t>4</w:t>
            </w:r>
            <w:r w:rsidR="004A432C">
              <w:rPr>
                <w:webHidden/>
              </w:rPr>
              <w:fldChar w:fldCharType="end"/>
            </w:r>
          </w:hyperlink>
        </w:p>
        <w:p w14:paraId="00DAE1AD" w14:textId="09756A78" w:rsidR="004A432C" w:rsidRDefault="004A432C">
          <w:pPr>
            <w:pStyle w:val="Verzeichnis1"/>
            <w:rPr>
              <w:b w:val="0"/>
              <w:color w:val="auto"/>
              <w:lang w:val="de-DE" w:eastAsia="zh-CN"/>
            </w:rPr>
          </w:pPr>
          <w:hyperlink w:anchor="_Toc175042882" w:history="1">
            <w:r w:rsidRPr="009422CE">
              <w:rPr>
                <w:rStyle w:val="Hyperlink"/>
              </w:rPr>
              <w:t>2.</w:t>
            </w:r>
            <w:r>
              <w:rPr>
                <w:b w:val="0"/>
                <w:color w:val="auto"/>
                <w:lang w:val="de-DE" w:eastAsia="zh-CN"/>
              </w:rPr>
              <w:tab/>
            </w:r>
            <w:r w:rsidRPr="009422CE">
              <w:rPr>
                <w:rStyle w:val="Hyperlink"/>
              </w:rPr>
              <w:t>iFlows and configuration in detail</w:t>
            </w:r>
            <w:r>
              <w:rPr>
                <w:webHidden/>
              </w:rPr>
              <w:tab/>
            </w:r>
            <w:r>
              <w:rPr>
                <w:webHidden/>
              </w:rPr>
              <w:fldChar w:fldCharType="begin"/>
            </w:r>
            <w:r>
              <w:rPr>
                <w:webHidden/>
              </w:rPr>
              <w:instrText xml:space="preserve"> PAGEREF _Toc175042882 \h </w:instrText>
            </w:r>
            <w:r>
              <w:rPr>
                <w:webHidden/>
              </w:rPr>
            </w:r>
            <w:r>
              <w:rPr>
                <w:webHidden/>
              </w:rPr>
              <w:fldChar w:fldCharType="separate"/>
            </w:r>
            <w:r>
              <w:rPr>
                <w:webHidden/>
              </w:rPr>
              <w:t>5</w:t>
            </w:r>
            <w:r>
              <w:rPr>
                <w:webHidden/>
              </w:rPr>
              <w:fldChar w:fldCharType="end"/>
            </w:r>
          </w:hyperlink>
        </w:p>
        <w:p w14:paraId="681050BC" w14:textId="4D577B22" w:rsidR="004A432C" w:rsidRDefault="004A432C">
          <w:pPr>
            <w:pStyle w:val="Verzeichnis2"/>
            <w:rPr>
              <w:lang w:val="de-DE" w:eastAsia="zh-CN"/>
            </w:rPr>
          </w:pPr>
          <w:hyperlink w:anchor="_Toc175042883" w:history="1">
            <w:r w:rsidRPr="009422CE">
              <w:rPr>
                <w:rStyle w:val="Hyperlink"/>
              </w:rPr>
              <w:t>2.1.</w:t>
            </w:r>
            <w:r>
              <w:rPr>
                <w:lang w:val="de-DE" w:eastAsia="zh-CN"/>
              </w:rPr>
              <w:tab/>
            </w:r>
            <w:r w:rsidRPr="009422CE">
              <w:rPr>
                <w:rStyle w:val="Hyperlink"/>
              </w:rPr>
              <w:t>Fullsync Integration Assessment Vendors</w:t>
            </w:r>
            <w:r>
              <w:rPr>
                <w:webHidden/>
              </w:rPr>
              <w:tab/>
            </w:r>
            <w:r>
              <w:rPr>
                <w:webHidden/>
              </w:rPr>
              <w:fldChar w:fldCharType="begin"/>
            </w:r>
            <w:r>
              <w:rPr>
                <w:webHidden/>
              </w:rPr>
              <w:instrText xml:space="preserve"> PAGEREF _Toc175042883 \h </w:instrText>
            </w:r>
            <w:r>
              <w:rPr>
                <w:webHidden/>
              </w:rPr>
            </w:r>
            <w:r>
              <w:rPr>
                <w:webHidden/>
              </w:rPr>
              <w:fldChar w:fldCharType="separate"/>
            </w:r>
            <w:r>
              <w:rPr>
                <w:webHidden/>
              </w:rPr>
              <w:t>5</w:t>
            </w:r>
            <w:r>
              <w:rPr>
                <w:webHidden/>
              </w:rPr>
              <w:fldChar w:fldCharType="end"/>
            </w:r>
          </w:hyperlink>
        </w:p>
        <w:p w14:paraId="54F6208D" w14:textId="4F5F6D5F" w:rsidR="004A432C" w:rsidRDefault="004A432C">
          <w:pPr>
            <w:pStyle w:val="Verzeichnis2"/>
            <w:rPr>
              <w:lang w:val="de-DE" w:eastAsia="zh-CN"/>
            </w:rPr>
          </w:pPr>
          <w:hyperlink w:anchor="_Toc175042884" w:history="1">
            <w:r w:rsidRPr="009422CE">
              <w:rPr>
                <w:rStyle w:val="Hyperlink"/>
              </w:rPr>
              <w:t>2.2.</w:t>
            </w:r>
            <w:r>
              <w:rPr>
                <w:lang w:val="de-DE" w:eastAsia="zh-CN"/>
              </w:rPr>
              <w:tab/>
            </w:r>
            <w:r w:rsidRPr="009422CE">
              <w:rPr>
                <w:rStyle w:val="Hyperlink"/>
              </w:rPr>
              <w:t>Fullsync Integration Assessment Applications</w:t>
            </w:r>
            <w:r>
              <w:rPr>
                <w:webHidden/>
              </w:rPr>
              <w:tab/>
            </w:r>
            <w:r>
              <w:rPr>
                <w:webHidden/>
              </w:rPr>
              <w:fldChar w:fldCharType="begin"/>
            </w:r>
            <w:r>
              <w:rPr>
                <w:webHidden/>
              </w:rPr>
              <w:instrText xml:space="preserve"> PAGEREF _Toc175042884 \h </w:instrText>
            </w:r>
            <w:r>
              <w:rPr>
                <w:webHidden/>
              </w:rPr>
            </w:r>
            <w:r>
              <w:rPr>
                <w:webHidden/>
              </w:rPr>
              <w:fldChar w:fldCharType="separate"/>
            </w:r>
            <w:r>
              <w:rPr>
                <w:webHidden/>
              </w:rPr>
              <w:t>6</w:t>
            </w:r>
            <w:r>
              <w:rPr>
                <w:webHidden/>
              </w:rPr>
              <w:fldChar w:fldCharType="end"/>
            </w:r>
          </w:hyperlink>
        </w:p>
        <w:p w14:paraId="014BA7E1" w14:textId="09E8B391" w:rsidR="004A432C" w:rsidRDefault="004A432C">
          <w:pPr>
            <w:pStyle w:val="Verzeichnis2"/>
            <w:rPr>
              <w:lang w:val="de-DE" w:eastAsia="zh-CN"/>
            </w:rPr>
          </w:pPr>
          <w:hyperlink w:anchor="_Toc175042885" w:history="1">
            <w:r w:rsidRPr="009422CE">
              <w:rPr>
                <w:rStyle w:val="Hyperlink"/>
              </w:rPr>
              <w:t>2.3.</w:t>
            </w:r>
            <w:r>
              <w:rPr>
                <w:lang w:val="de-DE" w:eastAsia="zh-CN"/>
              </w:rPr>
              <w:tab/>
            </w:r>
            <w:r w:rsidRPr="009422CE">
              <w:rPr>
                <w:rStyle w:val="Hyperlink"/>
              </w:rPr>
              <w:t>Create Integration Assessment Vendor</w:t>
            </w:r>
            <w:r>
              <w:rPr>
                <w:webHidden/>
              </w:rPr>
              <w:tab/>
            </w:r>
            <w:r>
              <w:rPr>
                <w:webHidden/>
              </w:rPr>
              <w:fldChar w:fldCharType="begin"/>
            </w:r>
            <w:r>
              <w:rPr>
                <w:webHidden/>
              </w:rPr>
              <w:instrText xml:space="preserve"> PAGEREF _Toc175042885 \h </w:instrText>
            </w:r>
            <w:r>
              <w:rPr>
                <w:webHidden/>
              </w:rPr>
            </w:r>
            <w:r>
              <w:rPr>
                <w:webHidden/>
              </w:rPr>
              <w:fldChar w:fldCharType="separate"/>
            </w:r>
            <w:r>
              <w:rPr>
                <w:webHidden/>
              </w:rPr>
              <w:t>8</w:t>
            </w:r>
            <w:r>
              <w:rPr>
                <w:webHidden/>
              </w:rPr>
              <w:fldChar w:fldCharType="end"/>
            </w:r>
          </w:hyperlink>
        </w:p>
        <w:p w14:paraId="4E74105E" w14:textId="1965E99B" w:rsidR="004A432C" w:rsidRDefault="004A432C">
          <w:pPr>
            <w:pStyle w:val="Verzeichnis2"/>
            <w:rPr>
              <w:lang w:val="de-DE" w:eastAsia="zh-CN"/>
            </w:rPr>
          </w:pPr>
          <w:hyperlink w:anchor="_Toc175042886" w:history="1">
            <w:r w:rsidRPr="009422CE">
              <w:rPr>
                <w:rStyle w:val="Hyperlink"/>
              </w:rPr>
              <w:t>2.4.</w:t>
            </w:r>
            <w:r>
              <w:rPr>
                <w:lang w:val="de-DE" w:eastAsia="zh-CN"/>
              </w:rPr>
              <w:tab/>
            </w:r>
            <w:r w:rsidRPr="009422CE">
              <w:rPr>
                <w:rStyle w:val="Hyperlink"/>
              </w:rPr>
              <w:t>Create Integration Assessment Application</w:t>
            </w:r>
            <w:r>
              <w:rPr>
                <w:webHidden/>
              </w:rPr>
              <w:tab/>
            </w:r>
            <w:r>
              <w:rPr>
                <w:webHidden/>
              </w:rPr>
              <w:fldChar w:fldCharType="begin"/>
            </w:r>
            <w:r>
              <w:rPr>
                <w:webHidden/>
              </w:rPr>
              <w:instrText xml:space="preserve"> PAGEREF _Toc175042886 \h </w:instrText>
            </w:r>
            <w:r>
              <w:rPr>
                <w:webHidden/>
              </w:rPr>
            </w:r>
            <w:r>
              <w:rPr>
                <w:webHidden/>
              </w:rPr>
              <w:fldChar w:fldCharType="separate"/>
            </w:r>
            <w:r>
              <w:rPr>
                <w:webHidden/>
              </w:rPr>
              <w:t>10</w:t>
            </w:r>
            <w:r>
              <w:rPr>
                <w:webHidden/>
              </w:rPr>
              <w:fldChar w:fldCharType="end"/>
            </w:r>
          </w:hyperlink>
        </w:p>
        <w:p w14:paraId="55A4D7BD" w14:textId="4A65CB5A" w:rsidR="004A432C" w:rsidRDefault="004A432C">
          <w:pPr>
            <w:pStyle w:val="Verzeichnis2"/>
            <w:rPr>
              <w:lang w:val="de-DE" w:eastAsia="zh-CN"/>
            </w:rPr>
          </w:pPr>
          <w:hyperlink w:anchor="_Toc175042887" w:history="1">
            <w:r w:rsidRPr="009422CE">
              <w:rPr>
                <w:rStyle w:val="Hyperlink"/>
              </w:rPr>
              <w:t>2.5.</w:t>
            </w:r>
            <w:r>
              <w:rPr>
                <w:lang w:val="de-DE" w:eastAsia="zh-CN"/>
              </w:rPr>
              <w:tab/>
            </w:r>
            <w:r w:rsidRPr="009422CE">
              <w:rPr>
                <w:rStyle w:val="Hyperlink"/>
              </w:rPr>
              <w:t>Create SAP LeanIX Interface FactSheet</w:t>
            </w:r>
            <w:r>
              <w:rPr>
                <w:webHidden/>
              </w:rPr>
              <w:tab/>
            </w:r>
            <w:r>
              <w:rPr>
                <w:webHidden/>
              </w:rPr>
              <w:fldChar w:fldCharType="begin"/>
            </w:r>
            <w:r>
              <w:rPr>
                <w:webHidden/>
              </w:rPr>
              <w:instrText xml:space="preserve"> PAGEREF _Toc175042887 \h </w:instrText>
            </w:r>
            <w:r>
              <w:rPr>
                <w:webHidden/>
              </w:rPr>
            </w:r>
            <w:r>
              <w:rPr>
                <w:webHidden/>
              </w:rPr>
              <w:fldChar w:fldCharType="separate"/>
            </w:r>
            <w:r>
              <w:rPr>
                <w:webHidden/>
              </w:rPr>
              <w:t>13</w:t>
            </w:r>
            <w:r>
              <w:rPr>
                <w:webHidden/>
              </w:rPr>
              <w:fldChar w:fldCharType="end"/>
            </w:r>
          </w:hyperlink>
        </w:p>
        <w:p w14:paraId="40D52B81" w14:textId="2FF5610D" w:rsidR="00651A50" w:rsidRDefault="00C42417" w:rsidP="00651A50">
          <w:pPr>
            <w:rPr>
              <w:b/>
              <w:bCs/>
            </w:rPr>
          </w:pPr>
          <w:r>
            <w:rPr>
              <w:rFonts w:asciiTheme="minorHAnsi" w:eastAsiaTheme="minorEastAsia" w:hAnsiTheme="minorHAnsi"/>
              <w:b/>
              <w:color w:val="0072BC" w:themeColor="background2"/>
              <w:sz w:val="22"/>
              <w:szCs w:val="22"/>
              <w:lang w:eastAsia="en-ZA"/>
            </w:rPr>
            <w:fldChar w:fldCharType="end"/>
          </w:r>
        </w:p>
      </w:sdtContent>
    </w:sdt>
    <w:p w14:paraId="340CE33E" w14:textId="7A1633FB" w:rsidR="005B4891" w:rsidRPr="00651A50" w:rsidRDefault="005B4891" w:rsidP="00651A50">
      <w:pPr>
        <w:rPr>
          <w:b/>
          <w:bCs/>
        </w:rPr>
      </w:pPr>
      <w:r w:rsidRPr="007A03B6">
        <w:br w:type="page"/>
      </w:r>
    </w:p>
    <w:p w14:paraId="2DEA976F" w14:textId="77777777" w:rsidR="002E7929" w:rsidRPr="007A03B6" w:rsidRDefault="002E7929" w:rsidP="001F3950">
      <w:pPr>
        <w:pStyle w:val="NTTDATAHistoryHeading"/>
      </w:pPr>
      <w:r w:rsidRPr="007A03B6">
        <w:lastRenderedPageBreak/>
        <w:t>Document history</w:t>
      </w:r>
    </w:p>
    <w:tbl>
      <w:tblPr>
        <w:tblStyle w:val="NTTDATAFutureBluetable0"/>
        <w:tblW w:w="9631" w:type="dxa"/>
        <w:tblLayout w:type="fixed"/>
        <w:tblLook w:val="0620" w:firstRow="1" w:lastRow="0" w:firstColumn="0" w:lastColumn="0" w:noHBand="1" w:noVBand="1"/>
      </w:tblPr>
      <w:tblGrid>
        <w:gridCol w:w="798"/>
        <w:gridCol w:w="2168"/>
        <w:gridCol w:w="4564"/>
        <w:gridCol w:w="2101"/>
      </w:tblGrid>
      <w:tr w:rsidR="002E7929" w:rsidRPr="007A03B6" w14:paraId="180A385C" w14:textId="77777777" w:rsidTr="00F42F0F">
        <w:trPr>
          <w:cnfStyle w:val="100000000000" w:firstRow="1" w:lastRow="0" w:firstColumn="0" w:lastColumn="0" w:oddVBand="0" w:evenVBand="0" w:oddHBand="0" w:evenHBand="0" w:firstRowFirstColumn="0" w:firstRowLastColumn="0" w:lastRowFirstColumn="0" w:lastRowLastColumn="0"/>
        </w:trPr>
        <w:tc>
          <w:tcPr>
            <w:tcW w:w="798" w:type="dxa"/>
          </w:tcPr>
          <w:p w14:paraId="1BC042EF" w14:textId="77777777" w:rsidR="002E7929" w:rsidRPr="007A03B6" w:rsidRDefault="002E7929" w:rsidP="002E7929">
            <w:pPr>
              <w:pStyle w:val="NTTDATATableWhiteHeader"/>
              <w:rPr>
                <w:lang w:val="en-US"/>
              </w:rPr>
            </w:pPr>
            <w:r w:rsidRPr="007A03B6">
              <w:rPr>
                <w:lang w:val="en-US"/>
              </w:rPr>
              <w:t>Issue</w:t>
            </w:r>
          </w:p>
        </w:tc>
        <w:tc>
          <w:tcPr>
            <w:tcW w:w="2168" w:type="dxa"/>
          </w:tcPr>
          <w:p w14:paraId="39D49AD9" w14:textId="77777777" w:rsidR="002E7929" w:rsidRPr="007A03B6" w:rsidRDefault="002E7929" w:rsidP="002E7929">
            <w:pPr>
              <w:pStyle w:val="NTTDATATableWhiteHeader"/>
              <w:rPr>
                <w:lang w:val="en-US"/>
              </w:rPr>
            </w:pPr>
            <w:r w:rsidRPr="007A03B6">
              <w:rPr>
                <w:lang w:val="en-US"/>
              </w:rPr>
              <w:t>Date</w:t>
            </w:r>
          </w:p>
        </w:tc>
        <w:tc>
          <w:tcPr>
            <w:tcW w:w="4564" w:type="dxa"/>
          </w:tcPr>
          <w:p w14:paraId="2C45505F" w14:textId="77777777" w:rsidR="002E7929" w:rsidRPr="007A03B6" w:rsidRDefault="002E7929" w:rsidP="002E7929">
            <w:pPr>
              <w:pStyle w:val="NTTDATATableWhiteHeader"/>
              <w:rPr>
                <w:lang w:val="en-US"/>
              </w:rPr>
            </w:pPr>
            <w:r w:rsidRPr="007A03B6">
              <w:rPr>
                <w:lang w:val="en-US"/>
              </w:rPr>
              <w:t>Comments</w:t>
            </w:r>
          </w:p>
        </w:tc>
        <w:tc>
          <w:tcPr>
            <w:tcW w:w="2101" w:type="dxa"/>
          </w:tcPr>
          <w:p w14:paraId="7A2928AC" w14:textId="77777777" w:rsidR="002E7929" w:rsidRPr="007A03B6" w:rsidRDefault="002E7929" w:rsidP="002E7929">
            <w:pPr>
              <w:pStyle w:val="NTTDATATableWhiteHeader"/>
              <w:rPr>
                <w:lang w:val="en-US"/>
              </w:rPr>
            </w:pPr>
            <w:r w:rsidRPr="007A03B6">
              <w:rPr>
                <w:lang w:val="en-US"/>
              </w:rPr>
              <w:t>Pages Affected</w:t>
            </w:r>
          </w:p>
        </w:tc>
      </w:tr>
      <w:tr w:rsidR="002E7929" w:rsidRPr="007A03B6" w14:paraId="1BE70332" w14:textId="77777777" w:rsidTr="00F42F0F">
        <w:tc>
          <w:tcPr>
            <w:tcW w:w="798" w:type="dxa"/>
          </w:tcPr>
          <w:p w14:paraId="5B20EE39" w14:textId="77777777" w:rsidR="002E7929" w:rsidRPr="007A03B6" w:rsidRDefault="002E7929" w:rsidP="00FD6AC1">
            <w:pPr>
              <w:pStyle w:val="NTTDATATableBodyText"/>
              <w:rPr>
                <w:lang w:val="en-US"/>
              </w:rPr>
            </w:pPr>
            <w:r w:rsidRPr="007A03B6">
              <w:rPr>
                <w:lang w:val="en-US"/>
              </w:rPr>
              <w:t>1.00</w:t>
            </w:r>
          </w:p>
        </w:tc>
        <w:tc>
          <w:tcPr>
            <w:tcW w:w="2168" w:type="dxa"/>
          </w:tcPr>
          <w:p w14:paraId="195FE184" w14:textId="700D8E6C" w:rsidR="002E7929" w:rsidRPr="007A03B6" w:rsidRDefault="005F4A22" w:rsidP="00FD6AC1">
            <w:pPr>
              <w:pStyle w:val="NTTDATATableBodyText"/>
              <w:rPr>
                <w:lang w:val="en-US"/>
              </w:rPr>
            </w:pPr>
            <w:r>
              <w:rPr>
                <w:lang w:val="en-US"/>
              </w:rPr>
              <w:t>02</w:t>
            </w:r>
            <w:r w:rsidR="00BF3051">
              <w:rPr>
                <w:lang w:val="en-US"/>
              </w:rPr>
              <w:t>.0</w:t>
            </w:r>
            <w:r>
              <w:rPr>
                <w:lang w:val="en-US"/>
              </w:rPr>
              <w:t>9</w:t>
            </w:r>
            <w:r w:rsidR="00BF3051">
              <w:rPr>
                <w:lang w:val="en-US"/>
              </w:rPr>
              <w:t>.2024</w:t>
            </w:r>
          </w:p>
        </w:tc>
        <w:tc>
          <w:tcPr>
            <w:tcW w:w="4564" w:type="dxa"/>
          </w:tcPr>
          <w:p w14:paraId="0E5B5282" w14:textId="77777777" w:rsidR="002E7929" w:rsidRPr="007A03B6" w:rsidRDefault="002E7929" w:rsidP="00FD6AC1">
            <w:pPr>
              <w:pStyle w:val="NTTDATATableBodyText"/>
              <w:rPr>
                <w:lang w:val="en-US"/>
              </w:rPr>
            </w:pPr>
            <w:r w:rsidRPr="007A03B6">
              <w:rPr>
                <w:lang w:val="en-US"/>
              </w:rPr>
              <w:t>Original</w:t>
            </w:r>
          </w:p>
        </w:tc>
        <w:tc>
          <w:tcPr>
            <w:tcW w:w="2101" w:type="dxa"/>
          </w:tcPr>
          <w:p w14:paraId="6078F8A0" w14:textId="77777777" w:rsidR="002E7929" w:rsidRPr="007A03B6" w:rsidRDefault="002E7929" w:rsidP="00FD6AC1">
            <w:pPr>
              <w:pStyle w:val="NTTDATATableBodyText"/>
              <w:rPr>
                <w:lang w:val="en-US"/>
              </w:rPr>
            </w:pPr>
            <w:r w:rsidRPr="007A03B6">
              <w:rPr>
                <w:lang w:val="en-US"/>
              </w:rPr>
              <w:t>All</w:t>
            </w:r>
          </w:p>
        </w:tc>
      </w:tr>
      <w:tr w:rsidR="002E7929" w:rsidRPr="007A03B6" w14:paraId="0C24D1AC" w14:textId="77777777" w:rsidTr="00F42F0F">
        <w:tc>
          <w:tcPr>
            <w:tcW w:w="798" w:type="dxa"/>
          </w:tcPr>
          <w:p w14:paraId="08724C51" w14:textId="13B8C480" w:rsidR="002E7929" w:rsidRPr="007A03B6" w:rsidRDefault="00880C11" w:rsidP="00FD6AC1">
            <w:pPr>
              <w:pStyle w:val="NTTDATATableBodyText"/>
              <w:rPr>
                <w:lang w:val="en-US"/>
              </w:rPr>
            </w:pPr>
            <w:r>
              <w:rPr>
                <w:lang w:val="en-US"/>
              </w:rPr>
              <w:t>1</w:t>
            </w:r>
            <w:r w:rsidR="002E7929" w:rsidRPr="007A03B6">
              <w:rPr>
                <w:lang w:val="en-US"/>
              </w:rPr>
              <w:t>.</w:t>
            </w:r>
            <w:r>
              <w:rPr>
                <w:lang w:val="en-US"/>
              </w:rPr>
              <w:t>0</w:t>
            </w:r>
            <w:r w:rsidR="00A24C60">
              <w:rPr>
                <w:lang w:val="en-US"/>
              </w:rPr>
              <w:t>1</w:t>
            </w:r>
          </w:p>
        </w:tc>
        <w:tc>
          <w:tcPr>
            <w:tcW w:w="2168" w:type="dxa"/>
          </w:tcPr>
          <w:p w14:paraId="23E666EA" w14:textId="099A6CF7" w:rsidR="002E7929" w:rsidRPr="007A03B6" w:rsidRDefault="005F4A22" w:rsidP="00FD6AC1">
            <w:pPr>
              <w:pStyle w:val="NTTDATATableBodyText"/>
              <w:rPr>
                <w:lang w:val="en-US"/>
              </w:rPr>
            </w:pPr>
            <w:r>
              <w:rPr>
                <w:lang w:val="en-US"/>
              </w:rPr>
              <w:t>03</w:t>
            </w:r>
            <w:r w:rsidR="00E9236D">
              <w:rPr>
                <w:lang w:val="en-US"/>
              </w:rPr>
              <w:t>.</w:t>
            </w:r>
            <w:r>
              <w:rPr>
                <w:lang w:val="en-US"/>
              </w:rPr>
              <w:t>12</w:t>
            </w:r>
            <w:r w:rsidR="00E9236D">
              <w:rPr>
                <w:lang w:val="en-US"/>
              </w:rPr>
              <w:t>.2024</w:t>
            </w:r>
          </w:p>
        </w:tc>
        <w:tc>
          <w:tcPr>
            <w:tcW w:w="4564" w:type="dxa"/>
          </w:tcPr>
          <w:p w14:paraId="639C83C0" w14:textId="579288C0" w:rsidR="002E7929" w:rsidRDefault="00293E1B" w:rsidP="00FD6AC1">
            <w:pPr>
              <w:pStyle w:val="NTTDATATableBodyText"/>
              <w:rPr>
                <w:lang w:val="en-US"/>
              </w:rPr>
            </w:pPr>
            <w:r>
              <w:rPr>
                <w:lang w:val="en-US"/>
              </w:rPr>
              <w:t>Added User Authorization Role</w:t>
            </w:r>
            <w:r w:rsidR="009B2418">
              <w:rPr>
                <w:lang w:val="en-US"/>
              </w:rPr>
              <w:t xml:space="preserve"> </w:t>
            </w:r>
            <w:r w:rsidR="00B74453">
              <w:rPr>
                <w:lang w:val="en-US"/>
              </w:rPr>
              <w:t>Recommendation</w:t>
            </w:r>
          </w:p>
          <w:p w14:paraId="36B5EE98" w14:textId="77777777" w:rsidR="009B2418" w:rsidRDefault="009B2418" w:rsidP="00FD6AC1">
            <w:pPr>
              <w:pStyle w:val="NTTDATATableBodyText"/>
              <w:rPr>
                <w:lang w:val="en-US"/>
              </w:rPr>
            </w:pPr>
          </w:p>
          <w:p w14:paraId="5906EE48" w14:textId="7FE95D87" w:rsidR="00B74453" w:rsidRPr="007A03B6" w:rsidRDefault="00B74453" w:rsidP="00FD6AC1">
            <w:pPr>
              <w:pStyle w:val="NTTDATATableBodyText"/>
              <w:rPr>
                <w:lang w:val="en-US"/>
              </w:rPr>
            </w:pPr>
            <w:r>
              <w:rPr>
                <w:lang w:val="en-US"/>
              </w:rPr>
              <w:t xml:space="preserve">Configuration of the iFlows is now </w:t>
            </w:r>
            <w:r w:rsidR="007F4A13">
              <w:rPr>
                <w:lang w:val="en-US"/>
              </w:rPr>
              <w:t xml:space="preserve">visualized </w:t>
            </w:r>
            <w:r>
              <w:rPr>
                <w:lang w:val="en-US"/>
              </w:rPr>
              <w:t>in Tables</w:t>
            </w:r>
          </w:p>
        </w:tc>
        <w:tc>
          <w:tcPr>
            <w:tcW w:w="2101" w:type="dxa"/>
          </w:tcPr>
          <w:p w14:paraId="79F020BC" w14:textId="54149EBC" w:rsidR="002E7929" w:rsidRPr="007A03B6" w:rsidRDefault="007F4A13" w:rsidP="00FD6AC1">
            <w:pPr>
              <w:pStyle w:val="NTTDATATableBodyText"/>
              <w:rPr>
                <w:lang w:val="en-US"/>
              </w:rPr>
            </w:pPr>
            <w:r>
              <w:rPr>
                <w:lang w:val="en-US"/>
              </w:rPr>
              <w:t>All</w:t>
            </w:r>
          </w:p>
        </w:tc>
      </w:tr>
      <w:tr w:rsidR="005F4A22" w:rsidRPr="007A03B6" w14:paraId="2C31EFFB" w14:textId="77777777" w:rsidTr="00F42F0F">
        <w:tc>
          <w:tcPr>
            <w:tcW w:w="798" w:type="dxa"/>
          </w:tcPr>
          <w:p w14:paraId="5241A93A" w14:textId="3FBC39C3" w:rsidR="005F4A22" w:rsidRDefault="005F4A22" w:rsidP="00FD6AC1">
            <w:pPr>
              <w:pStyle w:val="NTTDATATableBodyText"/>
              <w:rPr>
                <w:lang w:val="en-US"/>
              </w:rPr>
            </w:pPr>
            <w:r>
              <w:rPr>
                <w:lang w:val="en-US"/>
              </w:rPr>
              <w:t>1.10</w:t>
            </w:r>
          </w:p>
        </w:tc>
        <w:tc>
          <w:tcPr>
            <w:tcW w:w="2168" w:type="dxa"/>
          </w:tcPr>
          <w:p w14:paraId="3C060663" w14:textId="627785AB" w:rsidR="005F4A22" w:rsidRDefault="005F4A22" w:rsidP="00FD6AC1">
            <w:pPr>
              <w:pStyle w:val="NTTDATATableBodyText"/>
              <w:rPr>
                <w:lang w:val="en-US"/>
              </w:rPr>
            </w:pPr>
            <w:r>
              <w:rPr>
                <w:lang w:val="en-US"/>
              </w:rPr>
              <w:t>08.12.2024</w:t>
            </w:r>
          </w:p>
        </w:tc>
        <w:tc>
          <w:tcPr>
            <w:tcW w:w="4564" w:type="dxa"/>
          </w:tcPr>
          <w:p w14:paraId="4E2FE885" w14:textId="02EA7320" w:rsidR="005F4A22" w:rsidRDefault="0016739B" w:rsidP="00FD6AC1">
            <w:pPr>
              <w:pStyle w:val="NTTDATATableBodyText"/>
              <w:rPr>
                <w:lang w:val="en-US"/>
              </w:rPr>
            </w:pPr>
            <w:r>
              <w:rPr>
                <w:lang w:val="en-US"/>
              </w:rPr>
              <w:t>Added new integration documentation ‘Create SAP LeanIX Interface</w:t>
            </w:r>
            <w:r w:rsidR="00874DF5">
              <w:rPr>
                <w:lang w:val="en-US"/>
              </w:rPr>
              <w:t xml:space="preserve"> </w:t>
            </w:r>
            <w:r w:rsidR="00810172">
              <w:rPr>
                <w:lang w:val="en-US"/>
              </w:rPr>
              <w:t>FactS</w:t>
            </w:r>
            <w:r w:rsidR="00874DF5">
              <w:rPr>
                <w:lang w:val="en-US"/>
              </w:rPr>
              <w:t>heet</w:t>
            </w:r>
            <w:r w:rsidR="00C7258A">
              <w:rPr>
                <w:lang w:val="en-US"/>
              </w:rPr>
              <w:t>’</w:t>
            </w:r>
          </w:p>
        </w:tc>
        <w:tc>
          <w:tcPr>
            <w:tcW w:w="2101" w:type="dxa"/>
          </w:tcPr>
          <w:p w14:paraId="1EF80704" w14:textId="2295E5E8" w:rsidR="005F4A22" w:rsidRDefault="00C7258A" w:rsidP="00FD6AC1">
            <w:pPr>
              <w:pStyle w:val="NTTDATATableBodyText"/>
              <w:rPr>
                <w:lang w:val="en-US"/>
              </w:rPr>
            </w:pPr>
            <w:r>
              <w:rPr>
                <w:lang w:val="en-US"/>
              </w:rPr>
              <w:t>All</w:t>
            </w:r>
          </w:p>
        </w:tc>
      </w:tr>
    </w:tbl>
    <w:p w14:paraId="7B8C733F" w14:textId="2F9E25D0" w:rsidR="00D03EB2" w:rsidRPr="007A03B6" w:rsidRDefault="00BF3051">
      <w:pPr>
        <w:pStyle w:val="berschrift1"/>
        <w:numPr>
          <w:ilvl w:val="0"/>
          <w:numId w:val="7"/>
        </w:numPr>
      </w:pPr>
      <w:bookmarkStart w:id="0" w:name="_Toc175042881"/>
      <w:r>
        <w:lastRenderedPageBreak/>
        <w:t>Overview &amp; Introduction</w:t>
      </w:r>
      <w:bookmarkEnd w:id="0"/>
    </w:p>
    <w:p w14:paraId="6C4DCFFD" w14:textId="5B8F591D" w:rsidR="00BF3051" w:rsidRDefault="00BF3051" w:rsidP="00BF3051">
      <w:bookmarkStart w:id="1" w:name="_Toc145071780"/>
      <w:bookmarkStart w:id="2" w:name="_Toc145074494"/>
      <w:bookmarkStart w:id="3" w:name="_Toc147150034"/>
      <w:r w:rsidRPr="002B5174">
        <w:t xml:space="preserve">This integration package is designed to synchronize data between </w:t>
      </w:r>
      <w:r w:rsidR="00651A50">
        <w:t>SAP LeanIX</w:t>
      </w:r>
      <w:r w:rsidRPr="002B5174">
        <w:t xml:space="preserve"> and </w:t>
      </w:r>
      <w:r w:rsidR="00651A50">
        <w:t>Integration Assessment</w:t>
      </w:r>
      <w:r w:rsidRPr="002B5174">
        <w:t xml:space="preserve">, focusing primarily on application and vendor (referred to as 'providers' in </w:t>
      </w:r>
      <w:r w:rsidR="00651A50">
        <w:t>SAP LeanIX</w:t>
      </w:r>
      <w:r w:rsidRPr="002B5174">
        <w:t>) information. Utilizing the powerful capabilities of the SAP Integration Suite, this synchronization process ensures a seamless, secure, and up-to-date data flow. This enhances the accuracy and efficiency of IT integration strategies, providing comprehensive insights for integration assessments.</w:t>
      </w:r>
    </w:p>
    <w:p w14:paraId="6A908F77" w14:textId="77777777" w:rsidR="00BF3051" w:rsidRPr="002B5174" w:rsidRDefault="00BF3051" w:rsidP="00BF3051"/>
    <w:p w14:paraId="003113D3" w14:textId="71FBD176" w:rsidR="00BF3051" w:rsidRDefault="00BF3051" w:rsidP="00BF3051">
      <w:r w:rsidRPr="004B1FAD">
        <w:rPr>
          <w:b/>
          <w:bCs/>
        </w:rPr>
        <w:t>Note</w:t>
      </w:r>
      <w:r w:rsidRPr="002B5174">
        <w:t xml:space="preserve">: In this documentation, "Vendors" in Integration Assessment are equivalent to "Providers" in </w:t>
      </w:r>
      <w:r w:rsidR="00651A50">
        <w:t>SAP LeanIX</w:t>
      </w:r>
      <w:r w:rsidRPr="002B5174">
        <w:t xml:space="preserve"> for simplicity and clarity.</w:t>
      </w:r>
    </w:p>
    <w:p w14:paraId="52C34860" w14:textId="77777777" w:rsidR="00BF3051" w:rsidRPr="002B5174" w:rsidRDefault="00BF3051" w:rsidP="00BF3051"/>
    <w:p w14:paraId="75D24351" w14:textId="7ACCEEF6" w:rsidR="00BF3051" w:rsidRDefault="00BF3051" w:rsidP="00BF3051">
      <w:r w:rsidRPr="002B5174">
        <w:t>The package comprises four distinct integrations, each serving unique functions and designed to operate independently. Users can select and deploy any iFlow according to their specific requirements and needs:</w:t>
      </w:r>
    </w:p>
    <w:p w14:paraId="22F848C8" w14:textId="77777777" w:rsidR="00BF3051" w:rsidRPr="002B5174" w:rsidRDefault="00BF3051" w:rsidP="00BF3051"/>
    <w:p w14:paraId="1E6D6713" w14:textId="1FABC128" w:rsidR="00BF3051" w:rsidRPr="004B1FAD" w:rsidRDefault="00BF3051" w:rsidP="00BF3051">
      <w:pPr>
        <w:pStyle w:val="Listenabsatz"/>
        <w:numPr>
          <w:ilvl w:val="0"/>
          <w:numId w:val="17"/>
        </w:numPr>
        <w:spacing w:after="160" w:line="259" w:lineRule="auto"/>
      </w:pPr>
      <w:r w:rsidRPr="004B1FAD">
        <w:rPr>
          <w:b/>
          <w:bCs/>
        </w:rPr>
        <w:t>Fullsync Integration Assessment Vendors</w:t>
      </w:r>
      <w:r w:rsidRPr="004B1FAD">
        <w:t xml:space="preserve">: Synchronizes all vendors (providers) from </w:t>
      </w:r>
      <w:r w:rsidR="00651A50">
        <w:t>SAP LeanIX</w:t>
      </w:r>
      <w:r w:rsidRPr="004B1FAD">
        <w:t xml:space="preserve"> to </w:t>
      </w:r>
      <w:r w:rsidR="00651A50">
        <w:t>Integration Assessment</w:t>
      </w:r>
      <w:r w:rsidRPr="004B1FAD">
        <w:t>. This interface is triggered manually and operates once per trigger.</w:t>
      </w:r>
    </w:p>
    <w:p w14:paraId="6618144C" w14:textId="65E28020" w:rsidR="00BF3051" w:rsidRPr="004B1FAD" w:rsidRDefault="00BF3051" w:rsidP="00BF3051">
      <w:pPr>
        <w:pStyle w:val="Listenabsatz"/>
        <w:numPr>
          <w:ilvl w:val="0"/>
          <w:numId w:val="17"/>
        </w:numPr>
        <w:spacing w:after="160" w:line="259" w:lineRule="auto"/>
      </w:pPr>
      <w:r w:rsidRPr="004B1FAD">
        <w:rPr>
          <w:b/>
          <w:bCs/>
        </w:rPr>
        <w:t>Fullsync Integration Assessment Applications</w:t>
      </w:r>
      <w:r w:rsidRPr="004B1FAD">
        <w:t xml:space="preserve">: Synchronizes all applications from </w:t>
      </w:r>
      <w:r w:rsidR="00651A50">
        <w:t>SAP LeanIX</w:t>
      </w:r>
      <w:r w:rsidRPr="004B1FAD">
        <w:t xml:space="preserve"> to </w:t>
      </w:r>
      <w:r w:rsidR="00651A50">
        <w:t>Integration Assessment</w:t>
      </w:r>
      <w:r w:rsidRPr="004B1FAD">
        <w:t>. This includes optional synchronization of application instances (on-premise/public-cloud/private-cloud). This interface is also manually triggered and operates once per trigger.</w:t>
      </w:r>
    </w:p>
    <w:p w14:paraId="44CFA3FE" w14:textId="46B533E5" w:rsidR="00BF3051" w:rsidRPr="004B1FAD" w:rsidRDefault="00BF3051" w:rsidP="00BF3051">
      <w:pPr>
        <w:pStyle w:val="Listenabsatz"/>
        <w:numPr>
          <w:ilvl w:val="0"/>
          <w:numId w:val="17"/>
        </w:numPr>
        <w:spacing w:after="160" w:line="259" w:lineRule="auto"/>
      </w:pPr>
      <w:r w:rsidRPr="004B1FAD">
        <w:rPr>
          <w:b/>
          <w:bCs/>
        </w:rPr>
        <w:t>Create Integration Assessment Vendor</w:t>
      </w:r>
      <w:r w:rsidRPr="004B1FAD">
        <w:t xml:space="preserve">: Activated whenever a factsheet of type 'provider' is created in </w:t>
      </w:r>
      <w:r w:rsidR="00651A50">
        <w:t>SAP LeanIX</w:t>
      </w:r>
      <w:r w:rsidRPr="004B1FAD">
        <w:t xml:space="preserve">. This event triggers the creation of a new vendor in </w:t>
      </w:r>
      <w:r w:rsidR="00651A50">
        <w:t>Integration Assessment</w:t>
      </w:r>
      <w:r w:rsidRPr="004B1FAD">
        <w:t>, ensuring real-time data updates.</w:t>
      </w:r>
    </w:p>
    <w:p w14:paraId="6CD30ED4" w14:textId="5187A536" w:rsidR="00BF3051" w:rsidRDefault="00BF3051" w:rsidP="00BF3051">
      <w:pPr>
        <w:pStyle w:val="Listenabsatz"/>
        <w:numPr>
          <w:ilvl w:val="0"/>
          <w:numId w:val="17"/>
        </w:numPr>
        <w:spacing w:after="160" w:line="259" w:lineRule="auto"/>
      </w:pPr>
      <w:r w:rsidRPr="004B1FAD">
        <w:rPr>
          <w:b/>
          <w:bCs/>
        </w:rPr>
        <w:t>Create Integration Assessment Application</w:t>
      </w:r>
      <w:r w:rsidRPr="004B1FAD">
        <w:t xml:space="preserve">: Similar to the vendor creation interface, this is activated when a factsheet of type 'application' is created in </w:t>
      </w:r>
      <w:r w:rsidR="00651A50">
        <w:t>SAP LeanIX</w:t>
      </w:r>
      <w:r w:rsidRPr="004B1FAD">
        <w:t xml:space="preserve">. It triggers the creation of a new application in </w:t>
      </w:r>
      <w:r w:rsidR="00651A50">
        <w:t>Integration Assessment</w:t>
      </w:r>
      <w:r w:rsidRPr="004B1FAD">
        <w:t>, including the synchronization of application instances (on-premise/public-cloud/private-cloud) if applicable. This interface also requires manual triggering and operates once per trigger.</w:t>
      </w:r>
    </w:p>
    <w:p w14:paraId="074D3027" w14:textId="6151E514" w:rsidR="00951F36" w:rsidRPr="004B1FAD" w:rsidRDefault="00951F36" w:rsidP="00BF3051">
      <w:pPr>
        <w:pStyle w:val="Listenabsatz"/>
        <w:numPr>
          <w:ilvl w:val="0"/>
          <w:numId w:val="17"/>
        </w:numPr>
        <w:spacing w:after="160" w:line="259" w:lineRule="auto"/>
      </w:pPr>
      <w:r>
        <w:rPr>
          <w:b/>
          <w:bCs/>
        </w:rPr>
        <w:t>Create SAP LeanIX Interface Factsheet</w:t>
      </w:r>
      <w:r w:rsidRPr="00951F36">
        <w:t>:</w:t>
      </w:r>
      <w:r>
        <w:t xml:space="preserve"> </w:t>
      </w:r>
      <w:r w:rsidR="00FF5C9D" w:rsidRPr="00FF5C9D">
        <w:t>Generates a SAP LeanIX Interface Fact Sheet from Integration Assessment Interface Requests at a configurable interval. Applications selected in the Interface Request will also be referenced in the Fact Sheet, provided they have been synced by this package.</w:t>
      </w:r>
    </w:p>
    <w:p w14:paraId="51920878" w14:textId="75A7DA44" w:rsidR="00BF3051" w:rsidRDefault="00BF3051" w:rsidP="00BF3051">
      <w:r w:rsidRPr="002B5174">
        <w:t>Each integration is designed to ensure that your IT integration strategies are supported by the most current and relevant data, fostering informed decision-making and efficient management of IT resources.</w:t>
      </w:r>
    </w:p>
    <w:p w14:paraId="436D4802" w14:textId="77777777" w:rsidR="00BF3051" w:rsidRDefault="00BF3051">
      <w:pPr>
        <w:spacing w:line="240" w:lineRule="auto"/>
      </w:pPr>
      <w:r>
        <w:br w:type="page"/>
      </w:r>
    </w:p>
    <w:p w14:paraId="396F15E6" w14:textId="5E3F3DDD" w:rsidR="00BF3051" w:rsidRDefault="00BF3051" w:rsidP="00BF3051">
      <w:pPr>
        <w:pStyle w:val="berschrift1"/>
      </w:pPr>
      <w:bookmarkStart w:id="4" w:name="_Toc175042882"/>
      <w:r>
        <w:lastRenderedPageBreak/>
        <w:t>iFlows and configuration in detail</w:t>
      </w:r>
      <w:bookmarkEnd w:id="4"/>
    </w:p>
    <w:p w14:paraId="43BAD83E" w14:textId="50EDEDF0" w:rsidR="00D03EB2" w:rsidRPr="007A03B6" w:rsidRDefault="00BF3051" w:rsidP="00BF3051">
      <w:pPr>
        <w:pStyle w:val="berschrift2"/>
      </w:pPr>
      <w:bookmarkStart w:id="5" w:name="_Toc175042883"/>
      <w:bookmarkEnd w:id="1"/>
      <w:bookmarkEnd w:id="2"/>
      <w:bookmarkEnd w:id="3"/>
      <w:r w:rsidRPr="00BF3051">
        <w:t>Fullsync Integration Assessment Vendors</w:t>
      </w:r>
      <w:bookmarkEnd w:id="5"/>
      <w:r w:rsidR="0093724C" w:rsidRPr="007A03B6">
        <w:t xml:space="preserve"> </w:t>
      </w:r>
    </w:p>
    <w:p w14:paraId="202CE4FE" w14:textId="77777777" w:rsidR="00BF3051" w:rsidRDefault="00BF3051" w:rsidP="00BF3051"/>
    <w:p w14:paraId="596EFBDD" w14:textId="187DD97F" w:rsidR="00BF3051" w:rsidRPr="00884967" w:rsidRDefault="00BF3051" w:rsidP="00BF3051">
      <w:r w:rsidRPr="00884967">
        <w:t xml:space="preserve">This interface synchronizes all vendors from </w:t>
      </w:r>
      <w:r w:rsidR="00651A50">
        <w:t>SAP LeanIX</w:t>
      </w:r>
      <w:r w:rsidRPr="00884967">
        <w:t xml:space="preserve"> with </w:t>
      </w:r>
      <w:r w:rsidR="00651A50">
        <w:t>Integration Assessment</w:t>
      </w:r>
      <w:r w:rsidRPr="00884967">
        <w:t>. In Integration Assessment, these entities are referred to as "vendors".</w:t>
      </w:r>
    </w:p>
    <w:p w14:paraId="11C132D1" w14:textId="77777777" w:rsidR="00BF3051" w:rsidRDefault="00BF3051" w:rsidP="00BF3051">
      <w:r w:rsidRPr="00884967">
        <w:t>To initiate this integration, the following parameters must be configured in the iFlow:</w:t>
      </w:r>
    </w:p>
    <w:p w14:paraId="197DA761" w14:textId="77777777" w:rsidR="00ED2EFC" w:rsidRDefault="00ED2EFC" w:rsidP="00BF3051">
      <w:pPr>
        <w:rPr>
          <w:b/>
          <w:bCs/>
        </w:rPr>
      </w:pPr>
    </w:p>
    <w:p w14:paraId="09F4347E" w14:textId="7E82382E" w:rsidR="00ED2EFC" w:rsidRDefault="00ED2EFC" w:rsidP="00ED2EFC">
      <w:pPr>
        <w:rPr>
          <w:b/>
          <w:bCs/>
        </w:rPr>
      </w:pPr>
      <w:r w:rsidRPr="009F762E">
        <w:rPr>
          <w:b/>
          <w:bCs/>
        </w:rPr>
        <w:t xml:space="preserve">Receiver: </w:t>
      </w:r>
      <w:r>
        <w:rPr>
          <w:b/>
          <w:bCs/>
        </w:rPr>
        <w:t>LeanIX</w:t>
      </w:r>
    </w:p>
    <w:p w14:paraId="788E8B01" w14:textId="77777777" w:rsidR="00ED2EFC" w:rsidRDefault="00ED2EFC" w:rsidP="00ED2EFC">
      <w:pPr>
        <w:rPr>
          <w:b/>
          <w:bCs/>
        </w:rPr>
      </w:pPr>
    </w:p>
    <w:tbl>
      <w:tblPr>
        <w:tblStyle w:val="Tabellenraster"/>
        <w:tblW w:w="0" w:type="auto"/>
        <w:tblLook w:val="04A0" w:firstRow="1" w:lastRow="0" w:firstColumn="1" w:lastColumn="0" w:noHBand="0" w:noVBand="1"/>
      </w:tblPr>
      <w:tblGrid>
        <w:gridCol w:w="1701"/>
        <w:gridCol w:w="7655"/>
      </w:tblGrid>
      <w:tr w:rsidR="00ED2EFC" w14:paraId="4FD343A2" w14:textId="77777777" w:rsidTr="005C52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89BD871" w14:textId="77777777" w:rsidR="00ED2EFC" w:rsidRDefault="00ED2EFC" w:rsidP="005C5207">
            <w:pPr>
              <w:rPr>
                <w:b w:val="0"/>
                <w:bCs/>
              </w:rPr>
            </w:pPr>
            <w:r>
              <w:rPr>
                <w:b w:val="0"/>
                <w:bCs/>
              </w:rPr>
              <w:t>Address</w:t>
            </w:r>
          </w:p>
        </w:tc>
        <w:tc>
          <w:tcPr>
            <w:tcW w:w="7655" w:type="dxa"/>
          </w:tcPr>
          <w:p w14:paraId="4DCB361A" w14:textId="77777777" w:rsidR="00ED2EFC" w:rsidRPr="00ED2EFC" w:rsidRDefault="00ED2EFC" w:rsidP="005C5207">
            <w:pPr>
              <w:spacing w:after="160" w:line="259" w:lineRule="auto"/>
              <w:cnfStyle w:val="100000000000" w:firstRow="1" w:lastRow="0" w:firstColumn="0" w:lastColumn="0" w:oddVBand="0" w:evenVBand="0" w:oddHBand="0" w:evenHBand="0" w:firstRowFirstColumn="0" w:firstRowLastColumn="0" w:lastRowFirstColumn="0" w:lastRowLastColumn="0"/>
              <w:rPr>
                <w:b w:val="0"/>
                <w:bCs/>
              </w:rPr>
            </w:pPr>
            <w:r w:rsidRPr="00ED2EFC">
              <w:rPr>
                <w:b w:val="0"/>
                <w:bCs/>
              </w:rPr>
              <w:t xml:space="preserve">Enter the SAP LeanIX API URL. The address should follow this pattern: </w:t>
            </w:r>
          </w:p>
          <w:p w14:paraId="07E74F20" w14:textId="4B53543D" w:rsidR="00ED2EFC" w:rsidRPr="00A11585" w:rsidRDefault="00ED2EFC" w:rsidP="005C5207">
            <w:pPr>
              <w:spacing w:after="160" w:line="259" w:lineRule="auto"/>
              <w:cnfStyle w:val="100000000000" w:firstRow="1" w:lastRow="0" w:firstColumn="0" w:lastColumn="0" w:oddVBand="0" w:evenVBand="0" w:oddHBand="0" w:evenHBand="0" w:firstRowFirstColumn="0" w:firstRowLastColumn="0" w:lastRowFirstColumn="0" w:lastRowLastColumn="0"/>
              <w:rPr>
                <w:b w:val="0"/>
              </w:rPr>
            </w:pPr>
            <w:r w:rsidRPr="00ED2EFC">
              <w:rPr>
                <w:b w:val="0"/>
                <w:bCs/>
              </w:rPr>
              <w:t>https://&lt;customerdomain&gt;.lean</w:t>
            </w:r>
            <w:r w:rsidR="00DF3BF7">
              <w:rPr>
                <w:b w:val="0"/>
                <w:bCs/>
              </w:rPr>
              <w:t>ix</w:t>
            </w:r>
            <w:r w:rsidRPr="00ED2EFC">
              <w:rPr>
                <w:b w:val="0"/>
                <w:bCs/>
              </w:rPr>
              <w:t>.net/services/pathfinder/v1/graphql</w:t>
            </w:r>
          </w:p>
        </w:tc>
      </w:tr>
      <w:tr w:rsidR="00ED2EFC" w14:paraId="6BA0D5A1" w14:textId="77777777" w:rsidTr="005C5207">
        <w:tc>
          <w:tcPr>
            <w:cnfStyle w:val="001000000000" w:firstRow="0" w:lastRow="0" w:firstColumn="1" w:lastColumn="0" w:oddVBand="0" w:evenVBand="0" w:oddHBand="0" w:evenHBand="0" w:firstRowFirstColumn="0" w:firstRowLastColumn="0" w:lastRowFirstColumn="0" w:lastRowLastColumn="0"/>
            <w:tcW w:w="1701" w:type="dxa"/>
          </w:tcPr>
          <w:p w14:paraId="76D682DA" w14:textId="77777777" w:rsidR="00ED2EFC" w:rsidRDefault="00ED2EFC" w:rsidP="005C5207">
            <w:pPr>
              <w:rPr>
                <w:b w:val="0"/>
                <w:bCs/>
              </w:rPr>
            </w:pPr>
            <w:r>
              <w:rPr>
                <w:b w:val="0"/>
                <w:bCs/>
              </w:rPr>
              <w:t>Credential Name</w:t>
            </w:r>
          </w:p>
        </w:tc>
        <w:tc>
          <w:tcPr>
            <w:tcW w:w="7655" w:type="dxa"/>
          </w:tcPr>
          <w:p w14:paraId="1E66DFB5" w14:textId="77777777" w:rsidR="00ED2EFC" w:rsidRDefault="00ED2EFC" w:rsidP="005C5207">
            <w:pPr>
              <w:cnfStyle w:val="000000000000" w:firstRow="0" w:lastRow="0" w:firstColumn="0" w:lastColumn="0" w:oddVBand="0" w:evenVBand="0" w:oddHBand="0" w:evenHBand="0" w:firstRowFirstColumn="0" w:firstRowLastColumn="0" w:lastRowFirstColumn="0" w:lastRowLastColumn="0"/>
              <w:rPr>
                <w:b/>
                <w:bCs/>
              </w:rPr>
            </w:pPr>
            <w:r w:rsidRPr="00621BE1">
              <w:t xml:space="preserve">Enter the </w:t>
            </w:r>
            <w:r>
              <w:t xml:space="preserve">credential </w:t>
            </w:r>
            <w:r w:rsidRPr="00621BE1">
              <w:t xml:space="preserve">name of a </w:t>
            </w:r>
            <w:r>
              <w:t>SAP LeanIX</w:t>
            </w:r>
            <w:r w:rsidRPr="00621BE1">
              <w:t xml:space="preserve"> API user (OAuth2). To set this up, please create OAuth2 client credentials (refer</w:t>
            </w:r>
            <w:r>
              <w:t xml:space="preserve"> to</w:t>
            </w:r>
            <w:r w:rsidRPr="00621BE1">
              <w:t xml:space="preserve"> </w:t>
            </w:r>
            <w:hyperlink r:id="rId15" w:history="1">
              <w:r>
                <w:rPr>
                  <w:rStyle w:val="Hyperlink"/>
                </w:rPr>
                <w:t>SAP LeanIX</w:t>
              </w:r>
              <w:r w:rsidRPr="0005466B">
                <w:rPr>
                  <w:rStyle w:val="Hyperlink"/>
                </w:rPr>
                <w:t xml:space="preserve"> Developer Docs</w:t>
              </w:r>
            </w:hyperlink>
            <w:r w:rsidRPr="00621BE1">
              <w:t>) and add these credentials as security material (OAuth2 Credentials) in the SAP Integration Suite. Then, enter the created credentials.</w:t>
            </w:r>
          </w:p>
        </w:tc>
      </w:tr>
    </w:tbl>
    <w:p w14:paraId="14306825" w14:textId="77777777" w:rsidR="00ED2EFC" w:rsidRPr="009F762E" w:rsidRDefault="00ED2EFC" w:rsidP="00ED2EFC">
      <w:pPr>
        <w:rPr>
          <w:b/>
          <w:bCs/>
        </w:rPr>
      </w:pPr>
    </w:p>
    <w:p w14:paraId="2018013A" w14:textId="77777777" w:rsidR="00ED2EFC" w:rsidRDefault="00ED2EFC" w:rsidP="00ED2EFC">
      <w:pPr>
        <w:rPr>
          <w:b/>
          <w:bCs/>
        </w:rPr>
      </w:pPr>
      <w:r w:rsidRPr="009F762E">
        <w:rPr>
          <w:b/>
          <w:bCs/>
        </w:rPr>
        <w:t>Receiver: SAP_Assessment</w:t>
      </w:r>
    </w:p>
    <w:p w14:paraId="53F3C0DF" w14:textId="77777777" w:rsidR="00ED2EFC" w:rsidRDefault="00ED2EFC" w:rsidP="00ED2EFC">
      <w:pPr>
        <w:rPr>
          <w:b/>
          <w:bCs/>
        </w:rPr>
      </w:pPr>
    </w:p>
    <w:tbl>
      <w:tblPr>
        <w:tblStyle w:val="Tabellenraster"/>
        <w:tblW w:w="0" w:type="auto"/>
        <w:tblLook w:val="04A0" w:firstRow="1" w:lastRow="0" w:firstColumn="1" w:lastColumn="0" w:noHBand="0" w:noVBand="1"/>
      </w:tblPr>
      <w:tblGrid>
        <w:gridCol w:w="1701"/>
        <w:gridCol w:w="7937"/>
      </w:tblGrid>
      <w:tr w:rsidR="00ED2EFC" w14:paraId="61DA9182" w14:textId="77777777" w:rsidTr="005C52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93B0AB2" w14:textId="77777777" w:rsidR="00ED2EFC" w:rsidRPr="00EC3324" w:rsidRDefault="00ED2EFC" w:rsidP="005C5207">
            <w:pPr>
              <w:rPr>
                <w:b w:val="0"/>
              </w:rPr>
            </w:pPr>
            <w:r w:rsidRPr="00EC3324">
              <w:rPr>
                <w:b w:val="0"/>
              </w:rPr>
              <w:t>Address</w:t>
            </w:r>
          </w:p>
        </w:tc>
        <w:tc>
          <w:tcPr>
            <w:tcW w:w="7937" w:type="dxa"/>
          </w:tcPr>
          <w:p w14:paraId="791626C7" w14:textId="77777777" w:rsidR="00ED2EFC" w:rsidRPr="00EC3324" w:rsidRDefault="00ED2EFC" w:rsidP="005C5207">
            <w:pPr>
              <w:spacing w:after="160" w:line="259" w:lineRule="auto"/>
              <w:cnfStyle w:val="100000000000" w:firstRow="1" w:lastRow="0" w:firstColumn="0" w:lastColumn="0" w:oddVBand="0" w:evenVBand="0" w:oddHBand="0" w:evenHBand="0" w:firstRowFirstColumn="0" w:firstRowLastColumn="0" w:lastRowFirstColumn="0" w:lastRowLastColumn="0"/>
              <w:rPr>
                <w:bCs/>
              </w:rPr>
            </w:pPr>
            <w:r w:rsidRPr="00EC3324">
              <w:rPr>
                <w:b w:val="0"/>
                <w:bCs/>
              </w:rPr>
              <w:t>Use the Integration Assessment Vendor URL, following this pattern:</w:t>
            </w:r>
            <w:r>
              <w:rPr>
                <w:bCs/>
              </w:rPr>
              <w:br/>
            </w:r>
            <w:r w:rsidRPr="00EC3324">
              <w:rPr>
                <w:b w:val="0"/>
                <w:bCs/>
              </w:rPr>
              <w:br/>
              <w:t>https://&lt;customerdomain&gt;.hana.ondemand.com/intas/entities/v1/</w:t>
            </w:r>
            <w:r w:rsidRPr="00ED2EFC">
              <w:rPr>
                <w:bCs/>
              </w:rPr>
              <w:t>Vendor</w:t>
            </w:r>
          </w:p>
        </w:tc>
      </w:tr>
      <w:tr w:rsidR="00ED2EFC" w14:paraId="242A576C" w14:textId="77777777" w:rsidTr="005C5207">
        <w:tc>
          <w:tcPr>
            <w:cnfStyle w:val="001000000000" w:firstRow="0" w:lastRow="0" w:firstColumn="1" w:lastColumn="0" w:oddVBand="0" w:evenVBand="0" w:oddHBand="0" w:evenHBand="0" w:firstRowFirstColumn="0" w:firstRowLastColumn="0" w:lastRowFirstColumn="0" w:lastRowLastColumn="0"/>
            <w:tcW w:w="1701" w:type="dxa"/>
          </w:tcPr>
          <w:p w14:paraId="190D13C0" w14:textId="77777777" w:rsidR="00ED2EFC" w:rsidRDefault="00ED2EFC" w:rsidP="005C5207">
            <w:pPr>
              <w:rPr>
                <w:b w:val="0"/>
                <w:bCs/>
              </w:rPr>
            </w:pPr>
            <w:r>
              <w:rPr>
                <w:b w:val="0"/>
                <w:bCs/>
              </w:rPr>
              <w:t>Credential Name</w:t>
            </w:r>
          </w:p>
        </w:tc>
        <w:tc>
          <w:tcPr>
            <w:tcW w:w="7937" w:type="dxa"/>
          </w:tcPr>
          <w:p w14:paraId="25BB7954" w14:textId="77777777" w:rsidR="00ED2EFC" w:rsidRDefault="00ED2EFC" w:rsidP="005C5207">
            <w:pPr>
              <w:cnfStyle w:val="000000000000" w:firstRow="0" w:lastRow="0" w:firstColumn="0" w:lastColumn="0" w:oddVBand="0" w:evenVBand="0" w:oddHBand="0" w:evenHBand="0" w:firstRowFirstColumn="0" w:firstRowLastColumn="0" w:lastRowFirstColumn="0" w:lastRowLastColumn="0"/>
              <w:rPr>
                <w:b/>
                <w:bCs/>
              </w:rPr>
            </w:pPr>
            <w:r w:rsidRPr="003C2183">
              <w:t xml:space="preserve">Use your </w:t>
            </w:r>
            <w:r>
              <w:t>Integration Assessment</w:t>
            </w:r>
            <w:r w:rsidRPr="003C2183">
              <w:t xml:space="preserve"> </w:t>
            </w:r>
            <w:r>
              <w:t>Credentials</w:t>
            </w:r>
            <w:r w:rsidRPr="003C2183">
              <w:t xml:space="preserve"> (OAuth2). To set this up, create OAuth2 client credentials (see </w:t>
            </w:r>
            <w:hyperlink r:id="rId16" w:history="1">
              <w:r w:rsidRPr="00141443">
                <w:rPr>
                  <w:rStyle w:val="Hyperlink"/>
                </w:rPr>
                <w:t>SAP HELP</w:t>
              </w:r>
            </w:hyperlink>
            <w:r w:rsidRPr="003C2183">
              <w:t>) and add these credentials as security material (OAuth2 Credentials) in the SAP Integration Suite. Then, enter the created credentials</w:t>
            </w:r>
            <w:r>
              <w:t>.</w:t>
            </w:r>
          </w:p>
        </w:tc>
      </w:tr>
    </w:tbl>
    <w:p w14:paraId="5E4489C2" w14:textId="77777777" w:rsidR="00ED2EFC" w:rsidRDefault="00ED2EFC" w:rsidP="00BF3051"/>
    <w:p w14:paraId="7740735A" w14:textId="25E1B0B3" w:rsidR="00BF3051" w:rsidRDefault="00BF3051" w:rsidP="00BF3051">
      <w:r w:rsidRPr="009F762E">
        <w:t>Please ensure that the client credentials are functioning correctly. To start the iFlow, deploy it. The integration will automatically commence (once) and the vendors will be synchronized. You can view all synchronized vendors in the monitoring section – an attachment with all status codes will be created.</w:t>
      </w:r>
    </w:p>
    <w:p w14:paraId="2ADDE87B" w14:textId="77777777" w:rsidR="00BF3051" w:rsidRDefault="00BF3051">
      <w:pPr>
        <w:spacing w:line="240" w:lineRule="auto"/>
      </w:pPr>
      <w:r>
        <w:br w:type="page"/>
      </w:r>
    </w:p>
    <w:p w14:paraId="01FF72DD" w14:textId="698D4C8F" w:rsidR="00BF3051" w:rsidRDefault="00BF3051" w:rsidP="00BF3051">
      <w:pPr>
        <w:pStyle w:val="berschrift2"/>
      </w:pPr>
      <w:bookmarkStart w:id="6" w:name="_Toc175042884"/>
      <w:r w:rsidRPr="00BF3051">
        <w:lastRenderedPageBreak/>
        <w:t>Fullsync Integration Assessment Applications</w:t>
      </w:r>
      <w:bookmarkEnd w:id="6"/>
    </w:p>
    <w:p w14:paraId="582FBFDA" w14:textId="77777777" w:rsidR="00BF3051" w:rsidRDefault="00BF3051" w:rsidP="00BF3051"/>
    <w:p w14:paraId="7DBB35C2" w14:textId="62AA8A48" w:rsidR="00BF3051" w:rsidRDefault="00BF3051" w:rsidP="00BF3051">
      <w:r w:rsidRPr="00532061">
        <w:t xml:space="preserve">This interface facilitates the synchronization of all applications from </w:t>
      </w:r>
      <w:r w:rsidR="00651A50">
        <w:t>SAP LeanIX</w:t>
      </w:r>
      <w:r w:rsidRPr="00532061">
        <w:t xml:space="preserve"> with </w:t>
      </w:r>
      <w:r w:rsidR="00651A50">
        <w:t>Integration Assessment</w:t>
      </w:r>
      <w:r w:rsidRPr="00532061">
        <w:t>. Optionally, application instances (e.g., Public-Cloud/OnPremise) can also be synchronized.</w:t>
      </w:r>
    </w:p>
    <w:p w14:paraId="28E4AD51" w14:textId="77777777" w:rsidR="00A52250" w:rsidRPr="00532061" w:rsidRDefault="00A52250" w:rsidP="00BF3051"/>
    <w:p w14:paraId="4E129EBA" w14:textId="08B47E32" w:rsidR="00A52250" w:rsidRDefault="00A52250" w:rsidP="00A52250">
      <w:pPr>
        <w:rPr>
          <w:b/>
          <w:bCs/>
        </w:rPr>
      </w:pPr>
      <w:r w:rsidRPr="009F762E">
        <w:rPr>
          <w:b/>
          <w:bCs/>
        </w:rPr>
        <w:t xml:space="preserve">Receiver: </w:t>
      </w:r>
      <w:r>
        <w:rPr>
          <w:b/>
          <w:bCs/>
        </w:rPr>
        <w:t>LeanIX</w:t>
      </w:r>
    </w:p>
    <w:p w14:paraId="3B602747" w14:textId="77777777" w:rsidR="00A52250" w:rsidRPr="009F762E" w:rsidRDefault="00A52250" w:rsidP="00A52250">
      <w:pPr>
        <w:rPr>
          <w:b/>
          <w:bCs/>
        </w:rPr>
      </w:pPr>
    </w:p>
    <w:tbl>
      <w:tblPr>
        <w:tblStyle w:val="Tabellenraster"/>
        <w:tblW w:w="0" w:type="auto"/>
        <w:tblLook w:val="04A0" w:firstRow="1" w:lastRow="0" w:firstColumn="1" w:lastColumn="0" w:noHBand="0" w:noVBand="1"/>
      </w:tblPr>
      <w:tblGrid>
        <w:gridCol w:w="1701"/>
        <w:gridCol w:w="7655"/>
      </w:tblGrid>
      <w:tr w:rsidR="00A52250" w14:paraId="3EB6A3A1" w14:textId="77777777" w:rsidTr="005C52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80F47E7" w14:textId="77777777" w:rsidR="00A52250" w:rsidRDefault="00A52250" w:rsidP="005C5207">
            <w:pPr>
              <w:rPr>
                <w:b w:val="0"/>
                <w:bCs/>
              </w:rPr>
            </w:pPr>
            <w:r>
              <w:rPr>
                <w:b w:val="0"/>
                <w:bCs/>
              </w:rPr>
              <w:t>Address</w:t>
            </w:r>
          </w:p>
        </w:tc>
        <w:tc>
          <w:tcPr>
            <w:tcW w:w="7655" w:type="dxa"/>
          </w:tcPr>
          <w:p w14:paraId="7D466A2A" w14:textId="77777777" w:rsidR="00A52250" w:rsidRPr="006131AB" w:rsidRDefault="00A52250" w:rsidP="005C5207">
            <w:pPr>
              <w:spacing w:after="160" w:line="259" w:lineRule="auto"/>
              <w:cnfStyle w:val="100000000000" w:firstRow="1" w:lastRow="0" w:firstColumn="0" w:lastColumn="0" w:oddVBand="0" w:evenVBand="0" w:oddHBand="0" w:evenHBand="0" w:firstRowFirstColumn="0" w:firstRowLastColumn="0" w:lastRowFirstColumn="0" w:lastRowLastColumn="0"/>
              <w:rPr>
                <w:b w:val="0"/>
                <w:bCs/>
              </w:rPr>
            </w:pPr>
            <w:r w:rsidRPr="006131AB">
              <w:rPr>
                <w:b w:val="0"/>
                <w:bCs/>
              </w:rPr>
              <w:t xml:space="preserve">Enter the SAP LeanIX API URL. The address should follow this pattern: </w:t>
            </w:r>
          </w:p>
          <w:p w14:paraId="1163DA33" w14:textId="62643AF7" w:rsidR="00A52250" w:rsidRPr="00A11585" w:rsidRDefault="00A52250" w:rsidP="005C5207">
            <w:pPr>
              <w:spacing w:after="160" w:line="259" w:lineRule="auto"/>
              <w:cnfStyle w:val="100000000000" w:firstRow="1" w:lastRow="0" w:firstColumn="0" w:lastColumn="0" w:oddVBand="0" w:evenVBand="0" w:oddHBand="0" w:evenHBand="0" w:firstRowFirstColumn="0" w:firstRowLastColumn="0" w:lastRowFirstColumn="0" w:lastRowLastColumn="0"/>
              <w:rPr>
                <w:b w:val="0"/>
              </w:rPr>
            </w:pPr>
            <w:r w:rsidRPr="006131AB">
              <w:rPr>
                <w:b w:val="0"/>
                <w:bCs/>
              </w:rPr>
              <w:t>https://&lt;customerdomain&gt;.lean</w:t>
            </w:r>
            <w:r w:rsidR="00DF3BF7">
              <w:rPr>
                <w:b w:val="0"/>
                <w:bCs/>
              </w:rPr>
              <w:t>ix</w:t>
            </w:r>
            <w:r w:rsidRPr="006131AB">
              <w:rPr>
                <w:b w:val="0"/>
                <w:bCs/>
              </w:rPr>
              <w:t>.net/services/pathfinder/v1/graphql</w:t>
            </w:r>
          </w:p>
        </w:tc>
      </w:tr>
      <w:tr w:rsidR="00A52250" w14:paraId="5E54DB0A" w14:textId="77777777" w:rsidTr="005C5207">
        <w:tc>
          <w:tcPr>
            <w:cnfStyle w:val="001000000000" w:firstRow="0" w:lastRow="0" w:firstColumn="1" w:lastColumn="0" w:oddVBand="0" w:evenVBand="0" w:oddHBand="0" w:evenHBand="0" w:firstRowFirstColumn="0" w:firstRowLastColumn="0" w:lastRowFirstColumn="0" w:lastRowLastColumn="0"/>
            <w:tcW w:w="1701" w:type="dxa"/>
          </w:tcPr>
          <w:p w14:paraId="7FB02DCD" w14:textId="77777777" w:rsidR="00A52250" w:rsidRDefault="00A52250" w:rsidP="005C5207">
            <w:pPr>
              <w:rPr>
                <w:b w:val="0"/>
                <w:bCs/>
              </w:rPr>
            </w:pPr>
            <w:r>
              <w:rPr>
                <w:b w:val="0"/>
                <w:bCs/>
              </w:rPr>
              <w:t>Credential Name</w:t>
            </w:r>
          </w:p>
        </w:tc>
        <w:tc>
          <w:tcPr>
            <w:tcW w:w="7655" w:type="dxa"/>
          </w:tcPr>
          <w:p w14:paraId="24DA1B45" w14:textId="77777777" w:rsidR="00A52250" w:rsidRDefault="00A52250" w:rsidP="005C5207">
            <w:pPr>
              <w:cnfStyle w:val="000000000000" w:firstRow="0" w:lastRow="0" w:firstColumn="0" w:lastColumn="0" w:oddVBand="0" w:evenVBand="0" w:oddHBand="0" w:evenHBand="0" w:firstRowFirstColumn="0" w:firstRowLastColumn="0" w:lastRowFirstColumn="0" w:lastRowLastColumn="0"/>
              <w:rPr>
                <w:b/>
                <w:bCs/>
              </w:rPr>
            </w:pPr>
            <w:r w:rsidRPr="00621BE1">
              <w:t xml:space="preserve">Enter the </w:t>
            </w:r>
            <w:r>
              <w:t xml:space="preserve">credential </w:t>
            </w:r>
            <w:r w:rsidRPr="00621BE1">
              <w:t xml:space="preserve">name of a </w:t>
            </w:r>
            <w:r>
              <w:t>SAP LeanIX</w:t>
            </w:r>
            <w:r w:rsidRPr="00621BE1">
              <w:t xml:space="preserve"> API user (OAuth2). To set this up, please create OAuth2 client credentials (refer</w:t>
            </w:r>
            <w:r>
              <w:t xml:space="preserve"> to</w:t>
            </w:r>
            <w:r w:rsidRPr="00621BE1">
              <w:t xml:space="preserve"> </w:t>
            </w:r>
            <w:hyperlink r:id="rId17" w:history="1">
              <w:r>
                <w:rPr>
                  <w:rStyle w:val="Hyperlink"/>
                </w:rPr>
                <w:t>SAP LeanIX</w:t>
              </w:r>
              <w:r w:rsidRPr="0005466B">
                <w:rPr>
                  <w:rStyle w:val="Hyperlink"/>
                </w:rPr>
                <w:t xml:space="preserve"> Developer Docs</w:t>
              </w:r>
            </w:hyperlink>
            <w:r w:rsidRPr="00621BE1">
              <w:t>) and add these credentials as security material (OAuth2 Credentials) in the SAP Integration Suite. Then, enter the created credentials.</w:t>
            </w:r>
          </w:p>
        </w:tc>
      </w:tr>
    </w:tbl>
    <w:p w14:paraId="7863F894" w14:textId="77777777" w:rsidR="00A52250" w:rsidRDefault="00A52250" w:rsidP="00A52250">
      <w:pPr>
        <w:rPr>
          <w:b/>
          <w:bCs/>
        </w:rPr>
      </w:pPr>
    </w:p>
    <w:p w14:paraId="2E443FD3" w14:textId="77777777" w:rsidR="00A52250" w:rsidRDefault="00A52250" w:rsidP="00A52250">
      <w:pPr>
        <w:rPr>
          <w:b/>
          <w:bCs/>
        </w:rPr>
      </w:pPr>
      <w:r w:rsidRPr="009F762E">
        <w:rPr>
          <w:b/>
          <w:bCs/>
        </w:rPr>
        <w:t>Receiver: SAP_Assessment</w:t>
      </w:r>
      <w:r>
        <w:rPr>
          <w:b/>
          <w:bCs/>
        </w:rPr>
        <w:t>_application_instances</w:t>
      </w:r>
    </w:p>
    <w:p w14:paraId="0B515773" w14:textId="77777777" w:rsidR="00A52250" w:rsidRDefault="00A52250" w:rsidP="00A52250">
      <w:pPr>
        <w:rPr>
          <w:b/>
          <w:bCs/>
        </w:rPr>
      </w:pPr>
    </w:p>
    <w:tbl>
      <w:tblPr>
        <w:tblStyle w:val="Tabellenraster"/>
        <w:tblW w:w="0" w:type="auto"/>
        <w:tblLook w:val="04A0" w:firstRow="1" w:lastRow="0" w:firstColumn="1" w:lastColumn="0" w:noHBand="0" w:noVBand="1"/>
      </w:tblPr>
      <w:tblGrid>
        <w:gridCol w:w="1701"/>
        <w:gridCol w:w="7937"/>
      </w:tblGrid>
      <w:tr w:rsidR="00A52250" w14:paraId="3CFF8A1D" w14:textId="77777777" w:rsidTr="005C52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A94896E" w14:textId="77777777" w:rsidR="00A52250" w:rsidRPr="00EC3324" w:rsidRDefault="00A52250" w:rsidP="005C5207">
            <w:pPr>
              <w:rPr>
                <w:b w:val="0"/>
              </w:rPr>
            </w:pPr>
            <w:r w:rsidRPr="00EC3324">
              <w:rPr>
                <w:b w:val="0"/>
              </w:rPr>
              <w:t>Address</w:t>
            </w:r>
          </w:p>
        </w:tc>
        <w:tc>
          <w:tcPr>
            <w:tcW w:w="7937" w:type="dxa"/>
          </w:tcPr>
          <w:p w14:paraId="3F6912B5" w14:textId="5957615D" w:rsidR="00A52250" w:rsidRPr="00EC3324" w:rsidRDefault="00A52250" w:rsidP="005C5207">
            <w:pPr>
              <w:spacing w:after="160" w:line="259" w:lineRule="auto"/>
              <w:cnfStyle w:val="100000000000" w:firstRow="1" w:lastRow="0" w:firstColumn="0" w:lastColumn="0" w:oddVBand="0" w:evenVBand="0" w:oddHBand="0" w:evenHBand="0" w:firstRowFirstColumn="0" w:firstRowLastColumn="0" w:lastRowFirstColumn="0" w:lastRowLastColumn="0"/>
              <w:rPr>
                <w:bCs/>
              </w:rPr>
            </w:pPr>
            <w:r w:rsidRPr="00EC3324">
              <w:rPr>
                <w:b w:val="0"/>
                <w:bCs/>
              </w:rPr>
              <w:t>Use the Integration Assessment Vendor URL, following this pattern:</w:t>
            </w:r>
            <w:r>
              <w:rPr>
                <w:bCs/>
              </w:rPr>
              <w:br/>
            </w:r>
            <w:r w:rsidRPr="00EC3324">
              <w:rPr>
                <w:b w:val="0"/>
                <w:bCs/>
              </w:rPr>
              <w:br/>
              <w:t>https://&lt;customerdomain&gt;.hana.ondemand.com/intas/entities/v1/</w:t>
            </w:r>
            <w:r w:rsidRPr="006131AB">
              <w:t>ApplicationInstance</w:t>
            </w:r>
          </w:p>
        </w:tc>
      </w:tr>
      <w:tr w:rsidR="00A52250" w14:paraId="5B30CF35" w14:textId="77777777" w:rsidTr="005C5207">
        <w:tc>
          <w:tcPr>
            <w:cnfStyle w:val="001000000000" w:firstRow="0" w:lastRow="0" w:firstColumn="1" w:lastColumn="0" w:oddVBand="0" w:evenVBand="0" w:oddHBand="0" w:evenHBand="0" w:firstRowFirstColumn="0" w:firstRowLastColumn="0" w:lastRowFirstColumn="0" w:lastRowLastColumn="0"/>
            <w:tcW w:w="1701" w:type="dxa"/>
          </w:tcPr>
          <w:p w14:paraId="326244A4" w14:textId="77777777" w:rsidR="00A52250" w:rsidRDefault="00A52250" w:rsidP="005C5207">
            <w:pPr>
              <w:rPr>
                <w:b w:val="0"/>
                <w:bCs/>
              </w:rPr>
            </w:pPr>
            <w:r>
              <w:rPr>
                <w:b w:val="0"/>
                <w:bCs/>
              </w:rPr>
              <w:t>Credential Name</w:t>
            </w:r>
          </w:p>
        </w:tc>
        <w:tc>
          <w:tcPr>
            <w:tcW w:w="7937" w:type="dxa"/>
          </w:tcPr>
          <w:p w14:paraId="7EF013B4" w14:textId="77777777" w:rsidR="00A52250" w:rsidRDefault="00A52250" w:rsidP="005C5207">
            <w:pPr>
              <w:cnfStyle w:val="000000000000" w:firstRow="0" w:lastRow="0" w:firstColumn="0" w:lastColumn="0" w:oddVBand="0" w:evenVBand="0" w:oddHBand="0" w:evenHBand="0" w:firstRowFirstColumn="0" w:firstRowLastColumn="0" w:lastRowFirstColumn="0" w:lastRowLastColumn="0"/>
              <w:rPr>
                <w:b/>
                <w:bCs/>
              </w:rPr>
            </w:pPr>
            <w:r w:rsidRPr="003C2183">
              <w:t xml:space="preserve">Use your </w:t>
            </w:r>
            <w:r>
              <w:t>Integration Assessment</w:t>
            </w:r>
            <w:r w:rsidRPr="003C2183">
              <w:t xml:space="preserve"> </w:t>
            </w:r>
            <w:r>
              <w:t>Credentials</w:t>
            </w:r>
            <w:r w:rsidRPr="003C2183">
              <w:t xml:space="preserve"> (OAuth2). To set this up, create OAuth2 client credentials (see </w:t>
            </w:r>
            <w:hyperlink r:id="rId18" w:history="1">
              <w:r w:rsidRPr="00141443">
                <w:rPr>
                  <w:rStyle w:val="Hyperlink"/>
                </w:rPr>
                <w:t>SAP HELP</w:t>
              </w:r>
            </w:hyperlink>
            <w:r w:rsidRPr="003C2183">
              <w:t>) and add these credentials as security material (OAuth2 Credentials) in the SAP Integration Suite. Then, enter the created credentials</w:t>
            </w:r>
            <w:r>
              <w:t>.</w:t>
            </w:r>
          </w:p>
        </w:tc>
      </w:tr>
    </w:tbl>
    <w:p w14:paraId="7A8A16F7" w14:textId="77777777" w:rsidR="00A52250" w:rsidRPr="009F762E" w:rsidRDefault="00A52250" w:rsidP="00A52250">
      <w:pPr>
        <w:rPr>
          <w:b/>
          <w:bCs/>
        </w:rPr>
      </w:pPr>
    </w:p>
    <w:p w14:paraId="1EA00575" w14:textId="77777777" w:rsidR="00A52250" w:rsidRDefault="00A52250" w:rsidP="00A52250">
      <w:pPr>
        <w:rPr>
          <w:b/>
          <w:bCs/>
        </w:rPr>
      </w:pPr>
      <w:r w:rsidRPr="009F762E">
        <w:rPr>
          <w:b/>
          <w:bCs/>
        </w:rPr>
        <w:t>Receiver: SAP_Assessment</w:t>
      </w:r>
      <w:r>
        <w:rPr>
          <w:b/>
          <w:bCs/>
        </w:rPr>
        <w:t>_deployment_model</w:t>
      </w:r>
    </w:p>
    <w:p w14:paraId="7BFE1990" w14:textId="77777777" w:rsidR="00A52250" w:rsidRDefault="00A52250" w:rsidP="00A52250">
      <w:pPr>
        <w:rPr>
          <w:b/>
          <w:bCs/>
        </w:rPr>
      </w:pPr>
    </w:p>
    <w:tbl>
      <w:tblPr>
        <w:tblStyle w:val="Tabellenraster"/>
        <w:tblW w:w="0" w:type="auto"/>
        <w:tblLook w:val="04A0" w:firstRow="1" w:lastRow="0" w:firstColumn="1" w:lastColumn="0" w:noHBand="0" w:noVBand="1"/>
      </w:tblPr>
      <w:tblGrid>
        <w:gridCol w:w="1701"/>
        <w:gridCol w:w="7937"/>
      </w:tblGrid>
      <w:tr w:rsidR="00A52250" w14:paraId="5D42F64F" w14:textId="77777777" w:rsidTr="005C52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E27B521" w14:textId="77777777" w:rsidR="00A52250" w:rsidRPr="00EC3324" w:rsidRDefault="00A52250" w:rsidP="005C5207">
            <w:pPr>
              <w:rPr>
                <w:b w:val="0"/>
              </w:rPr>
            </w:pPr>
            <w:r w:rsidRPr="00EC3324">
              <w:rPr>
                <w:b w:val="0"/>
              </w:rPr>
              <w:t>Address</w:t>
            </w:r>
          </w:p>
        </w:tc>
        <w:tc>
          <w:tcPr>
            <w:tcW w:w="7937" w:type="dxa"/>
          </w:tcPr>
          <w:p w14:paraId="345C8ABB" w14:textId="7E90F344" w:rsidR="00A52250" w:rsidRPr="00EC3324" w:rsidRDefault="00A52250" w:rsidP="005C5207">
            <w:pPr>
              <w:spacing w:after="160" w:line="259" w:lineRule="auto"/>
              <w:cnfStyle w:val="100000000000" w:firstRow="1" w:lastRow="0" w:firstColumn="0" w:lastColumn="0" w:oddVBand="0" w:evenVBand="0" w:oddHBand="0" w:evenHBand="0" w:firstRowFirstColumn="0" w:firstRowLastColumn="0" w:lastRowFirstColumn="0" w:lastRowLastColumn="0"/>
              <w:rPr>
                <w:bCs/>
              </w:rPr>
            </w:pPr>
            <w:r w:rsidRPr="00EC3324">
              <w:rPr>
                <w:b w:val="0"/>
                <w:bCs/>
              </w:rPr>
              <w:t>Use the Integration Assessment Vendor URL, following this pattern:</w:t>
            </w:r>
            <w:r>
              <w:rPr>
                <w:bCs/>
              </w:rPr>
              <w:br/>
            </w:r>
            <w:r w:rsidRPr="00EC3324">
              <w:rPr>
                <w:b w:val="0"/>
                <w:bCs/>
              </w:rPr>
              <w:br/>
              <w:t>https://&lt;customerdomain&gt;.hana.ondemand.com/intas/entities/v1/</w:t>
            </w:r>
            <w:r w:rsidRPr="006131AB">
              <w:t>DeploymentModel</w:t>
            </w:r>
          </w:p>
        </w:tc>
      </w:tr>
      <w:tr w:rsidR="00A52250" w14:paraId="47750572" w14:textId="77777777" w:rsidTr="005C5207">
        <w:tc>
          <w:tcPr>
            <w:cnfStyle w:val="001000000000" w:firstRow="0" w:lastRow="0" w:firstColumn="1" w:lastColumn="0" w:oddVBand="0" w:evenVBand="0" w:oddHBand="0" w:evenHBand="0" w:firstRowFirstColumn="0" w:firstRowLastColumn="0" w:lastRowFirstColumn="0" w:lastRowLastColumn="0"/>
            <w:tcW w:w="1701" w:type="dxa"/>
          </w:tcPr>
          <w:p w14:paraId="6CF00E63" w14:textId="77777777" w:rsidR="00A52250" w:rsidRDefault="00A52250" w:rsidP="005C5207">
            <w:pPr>
              <w:rPr>
                <w:b w:val="0"/>
                <w:bCs/>
              </w:rPr>
            </w:pPr>
            <w:r>
              <w:rPr>
                <w:b w:val="0"/>
                <w:bCs/>
              </w:rPr>
              <w:t>Credential Name</w:t>
            </w:r>
          </w:p>
        </w:tc>
        <w:tc>
          <w:tcPr>
            <w:tcW w:w="7937" w:type="dxa"/>
          </w:tcPr>
          <w:p w14:paraId="5064D610" w14:textId="77777777" w:rsidR="00A52250" w:rsidRDefault="00A52250" w:rsidP="005C5207">
            <w:pPr>
              <w:cnfStyle w:val="000000000000" w:firstRow="0" w:lastRow="0" w:firstColumn="0" w:lastColumn="0" w:oddVBand="0" w:evenVBand="0" w:oddHBand="0" w:evenHBand="0" w:firstRowFirstColumn="0" w:firstRowLastColumn="0" w:lastRowFirstColumn="0" w:lastRowLastColumn="0"/>
              <w:rPr>
                <w:b/>
                <w:bCs/>
              </w:rPr>
            </w:pPr>
            <w:r w:rsidRPr="003C2183">
              <w:t xml:space="preserve">Use your </w:t>
            </w:r>
            <w:r>
              <w:t>Integration Assessment</w:t>
            </w:r>
            <w:r w:rsidRPr="003C2183">
              <w:t xml:space="preserve"> </w:t>
            </w:r>
            <w:r>
              <w:t>Credentials</w:t>
            </w:r>
            <w:r w:rsidRPr="003C2183">
              <w:t xml:space="preserve"> (OAuth2). To set this up, create OAuth2 client credentials (see </w:t>
            </w:r>
            <w:hyperlink r:id="rId19" w:history="1">
              <w:r w:rsidRPr="00141443">
                <w:rPr>
                  <w:rStyle w:val="Hyperlink"/>
                </w:rPr>
                <w:t>SAP HELP</w:t>
              </w:r>
            </w:hyperlink>
            <w:r w:rsidRPr="003C2183">
              <w:t>) and add these credentials as security material (OAuth2 Credentials) in the SAP Integration Suite. Then, enter the created credentials</w:t>
            </w:r>
            <w:r>
              <w:t>.</w:t>
            </w:r>
          </w:p>
        </w:tc>
      </w:tr>
    </w:tbl>
    <w:p w14:paraId="6F5EB3E3" w14:textId="77777777" w:rsidR="00A52250" w:rsidRDefault="00A52250" w:rsidP="00A52250">
      <w:pPr>
        <w:rPr>
          <w:b/>
          <w:bCs/>
        </w:rPr>
      </w:pPr>
    </w:p>
    <w:p w14:paraId="1F2804A0" w14:textId="77777777" w:rsidR="00A52250" w:rsidRDefault="00A52250" w:rsidP="00A52250">
      <w:pPr>
        <w:spacing w:line="240" w:lineRule="auto"/>
        <w:rPr>
          <w:b/>
          <w:bCs/>
        </w:rPr>
      </w:pPr>
      <w:r>
        <w:rPr>
          <w:b/>
          <w:bCs/>
        </w:rPr>
        <w:br w:type="page"/>
      </w:r>
    </w:p>
    <w:p w14:paraId="5D463D06" w14:textId="77777777" w:rsidR="00A52250" w:rsidRDefault="00A52250" w:rsidP="00A52250">
      <w:pPr>
        <w:rPr>
          <w:b/>
          <w:bCs/>
        </w:rPr>
      </w:pPr>
      <w:r w:rsidRPr="009F762E">
        <w:rPr>
          <w:b/>
          <w:bCs/>
        </w:rPr>
        <w:lastRenderedPageBreak/>
        <w:t>Receiver: SAP_Assessment</w:t>
      </w:r>
      <w:r>
        <w:rPr>
          <w:b/>
          <w:bCs/>
        </w:rPr>
        <w:t>_application</w:t>
      </w:r>
    </w:p>
    <w:p w14:paraId="6A9FF348" w14:textId="77777777" w:rsidR="00A52250" w:rsidRDefault="00A52250" w:rsidP="00A52250">
      <w:pPr>
        <w:rPr>
          <w:b/>
          <w:bCs/>
        </w:rPr>
      </w:pPr>
    </w:p>
    <w:tbl>
      <w:tblPr>
        <w:tblStyle w:val="Tabellenraster"/>
        <w:tblW w:w="0" w:type="auto"/>
        <w:tblLook w:val="04A0" w:firstRow="1" w:lastRow="0" w:firstColumn="1" w:lastColumn="0" w:noHBand="0" w:noVBand="1"/>
      </w:tblPr>
      <w:tblGrid>
        <w:gridCol w:w="1701"/>
        <w:gridCol w:w="7937"/>
      </w:tblGrid>
      <w:tr w:rsidR="00A52250" w14:paraId="684E9C7A" w14:textId="77777777" w:rsidTr="005C52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54504C6" w14:textId="77777777" w:rsidR="00A52250" w:rsidRPr="00EC3324" w:rsidRDefault="00A52250" w:rsidP="005C5207">
            <w:pPr>
              <w:rPr>
                <w:b w:val="0"/>
              </w:rPr>
            </w:pPr>
            <w:r w:rsidRPr="00EC3324">
              <w:rPr>
                <w:b w:val="0"/>
              </w:rPr>
              <w:t>Address</w:t>
            </w:r>
          </w:p>
        </w:tc>
        <w:tc>
          <w:tcPr>
            <w:tcW w:w="7937" w:type="dxa"/>
          </w:tcPr>
          <w:p w14:paraId="13D4DDD3" w14:textId="77777777" w:rsidR="00A52250" w:rsidRPr="00EC3324" w:rsidRDefault="00A52250" w:rsidP="005C5207">
            <w:pPr>
              <w:spacing w:after="160" w:line="259" w:lineRule="auto"/>
              <w:cnfStyle w:val="100000000000" w:firstRow="1" w:lastRow="0" w:firstColumn="0" w:lastColumn="0" w:oddVBand="0" w:evenVBand="0" w:oddHBand="0" w:evenHBand="0" w:firstRowFirstColumn="0" w:firstRowLastColumn="0" w:lastRowFirstColumn="0" w:lastRowLastColumn="0"/>
              <w:rPr>
                <w:bCs/>
              </w:rPr>
            </w:pPr>
            <w:r w:rsidRPr="00EC3324">
              <w:rPr>
                <w:b w:val="0"/>
                <w:bCs/>
              </w:rPr>
              <w:t>Use the Integration Assessment Vendor URL, following this pattern:</w:t>
            </w:r>
            <w:r>
              <w:rPr>
                <w:bCs/>
              </w:rPr>
              <w:br/>
            </w:r>
            <w:r w:rsidRPr="00EC3324">
              <w:rPr>
                <w:b w:val="0"/>
                <w:bCs/>
              </w:rPr>
              <w:br/>
              <w:t>https://&lt;customerdomain&gt;.hana.ondemand.com/intas/entities/v1/</w:t>
            </w:r>
            <w:r>
              <w:rPr>
                <w:bCs/>
              </w:rPr>
              <w:t>Application</w:t>
            </w:r>
          </w:p>
        </w:tc>
      </w:tr>
      <w:tr w:rsidR="00A52250" w14:paraId="6C78AEE4" w14:textId="77777777" w:rsidTr="005C5207">
        <w:tc>
          <w:tcPr>
            <w:cnfStyle w:val="001000000000" w:firstRow="0" w:lastRow="0" w:firstColumn="1" w:lastColumn="0" w:oddVBand="0" w:evenVBand="0" w:oddHBand="0" w:evenHBand="0" w:firstRowFirstColumn="0" w:firstRowLastColumn="0" w:lastRowFirstColumn="0" w:lastRowLastColumn="0"/>
            <w:tcW w:w="1701" w:type="dxa"/>
          </w:tcPr>
          <w:p w14:paraId="2AD5D055" w14:textId="77777777" w:rsidR="00A52250" w:rsidRDefault="00A52250" w:rsidP="005C5207">
            <w:pPr>
              <w:rPr>
                <w:b w:val="0"/>
                <w:bCs/>
              </w:rPr>
            </w:pPr>
            <w:r>
              <w:rPr>
                <w:b w:val="0"/>
                <w:bCs/>
              </w:rPr>
              <w:t>Credential Name</w:t>
            </w:r>
          </w:p>
        </w:tc>
        <w:tc>
          <w:tcPr>
            <w:tcW w:w="7937" w:type="dxa"/>
          </w:tcPr>
          <w:p w14:paraId="67A628D0" w14:textId="77777777" w:rsidR="00A52250" w:rsidRDefault="00A52250" w:rsidP="005C5207">
            <w:pPr>
              <w:cnfStyle w:val="000000000000" w:firstRow="0" w:lastRow="0" w:firstColumn="0" w:lastColumn="0" w:oddVBand="0" w:evenVBand="0" w:oddHBand="0" w:evenHBand="0" w:firstRowFirstColumn="0" w:firstRowLastColumn="0" w:lastRowFirstColumn="0" w:lastRowLastColumn="0"/>
              <w:rPr>
                <w:b/>
                <w:bCs/>
              </w:rPr>
            </w:pPr>
            <w:r w:rsidRPr="003C2183">
              <w:t xml:space="preserve">Use your </w:t>
            </w:r>
            <w:r>
              <w:t>Integration Assessment</w:t>
            </w:r>
            <w:r w:rsidRPr="003C2183">
              <w:t xml:space="preserve"> </w:t>
            </w:r>
            <w:r>
              <w:t>Credentials</w:t>
            </w:r>
            <w:r w:rsidRPr="003C2183">
              <w:t xml:space="preserve"> (OAuth2). To set this up, create OAuth2 client credentials (see </w:t>
            </w:r>
            <w:hyperlink r:id="rId20" w:history="1">
              <w:r w:rsidRPr="00141443">
                <w:rPr>
                  <w:rStyle w:val="Hyperlink"/>
                </w:rPr>
                <w:t>SAP HELP</w:t>
              </w:r>
            </w:hyperlink>
            <w:r w:rsidRPr="003C2183">
              <w:t>) and add these credentials as security material (OAuth2 Credentials) in the SAP Integration Suite. Then, enter the created credentials</w:t>
            </w:r>
            <w:r>
              <w:t>.</w:t>
            </w:r>
          </w:p>
        </w:tc>
      </w:tr>
    </w:tbl>
    <w:p w14:paraId="6CDA6047" w14:textId="77777777" w:rsidR="00A52250" w:rsidRPr="009F762E" w:rsidRDefault="00A52250" w:rsidP="00A52250">
      <w:pPr>
        <w:rPr>
          <w:b/>
          <w:bCs/>
        </w:rPr>
      </w:pPr>
    </w:p>
    <w:p w14:paraId="10AC82F3" w14:textId="77777777" w:rsidR="00A52250" w:rsidRDefault="00A52250" w:rsidP="00A52250">
      <w:pPr>
        <w:rPr>
          <w:b/>
          <w:bCs/>
        </w:rPr>
      </w:pPr>
      <w:r w:rsidRPr="00532061">
        <w:rPr>
          <w:b/>
          <w:bCs/>
        </w:rPr>
        <w:t>More: All Parameters</w:t>
      </w:r>
    </w:p>
    <w:p w14:paraId="45286132" w14:textId="77777777" w:rsidR="00A52250" w:rsidRDefault="00A52250" w:rsidP="00A52250">
      <w:pPr>
        <w:rPr>
          <w:b/>
          <w:bCs/>
        </w:rPr>
      </w:pPr>
    </w:p>
    <w:tbl>
      <w:tblPr>
        <w:tblStyle w:val="Tabellenraster"/>
        <w:tblW w:w="0" w:type="auto"/>
        <w:tblLook w:val="04A0" w:firstRow="1" w:lastRow="0" w:firstColumn="1" w:lastColumn="0" w:noHBand="0" w:noVBand="1"/>
      </w:tblPr>
      <w:tblGrid>
        <w:gridCol w:w="2316"/>
        <w:gridCol w:w="7322"/>
      </w:tblGrid>
      <w:tr w:rsidR="00A52250" w14:paraId="342833EB" w14:textId="77777777" w:rsidTr="005C52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925887E" w14:textId="77777777" w:rsidR="00A52250" w:rsidRDefault="00A52250" w:rsidP="005C5207">
            <w:pPr>
              <w:rPr>
                <w:b w:val="0"/>
                <w:bCs/>
              </w:rPr>
            </w:pPr>
            <w:r w:rsidRPr="005F2075">
              <w:rPr>
                <w:b w:val="0"/>
                <w:bCs/>
              </w:rPr>
              <w:t>syncApplicationInstance</w:t>
            </w:r>
          </w:p>
        </w:tc>
        <w:tc>
          <w:tcPr>
            <w:tcW w:w="7937" w:type="dxa"/>
          </w:tcPr>
          <w:p w14:paraId="6FF20EA1" w14:textId="77777777" w:rsidR="00A52250" w:rsidRPr="005F2075" w:rsidRDefault="00A52250" w:rsidP="005C5207">
            <w:pPr>
              <w:cnfStyle w:val="100000000000" w:firstRow="1" w:lastRow="0" w:firstColumn="0" w:lastColumn="0" w:oddVBand="0" w:evenVBand="0" w:oddHBand="0" w:evenHBand="0" w:firstRowFirstColumn="0" w:firstRowLastColumn="0" w:lastRowFirstColumn="0" w:lastRowLastColumn="0"/>
              <w:rPr>
                <w:b w:val="0"/>
                <w:bCs/>
              </w:rPr>
            </w:pPr>
            <w:r w:rsidRPr="005F2075">
              <w:rPr>
                <w:b w:val="0"/>
                <w:bCs/>
              </w:rPr>
              <w:t>If this is set to false, only applications will be synchronized, and application instances will be ignored. Application instances can be manually created in Integration Assessment after synchronization. To synchronize application instances, set this value to “true” (in lower-case). It distinguishes between “cloud” and “onPremise”. If there is no value for the deployment instance in SAP LeanIX, “onPremise” will be used as a fallback.</w:t>
            </w:r>
          </w:p>
        </w:tc>
      </w:tr>
    </w:tbl>
    <w:p w14:paraId="694A51B0" w14:textId="77777777" w:rsidR="00A52250" w:rsidRDefault="00A52250" w:rsidP="00BF3051"/>
    <w:p w14:paraId="3A619343" w14:textId="77777777" w:rsidR="006131AB" w:rsidRDefault="00BF3051" w:rsidP="00BF3051">
      <w:r w:rsidRPr="009C423B">
        <w:t xml:space="preserve">Ensure the client credentials are functioning correctly. </w:t>
      </w:r>
    </w:p>
    <w:p w14:paraId="7251C5AE" w14:textId="77777777" w:rsidR="006131AB" w:rsidRDefault="006131AB" w:rsidP="00BF3051"/>
    <w:p w14:paraId="331760C7" w14:textId="381E027A" w:rsidR="00BF3051" w:rsidRDefault="00BF3051" w:rsidP="00BF3051">
      <w:r w:rsidRPr="009C423B">
        <w:t>To start the iFlow, deploy it. The integration will automatically commence (once), and the applications will be synchronized. You can view all synchronized applications in the monitoring section – an attachment with all status codes will be created.</w:t>
      </w:r>
    </w:p>
    <w:p w14:paraId="140B0311" w14:textId="77777777" w:rsidR="002E75D6" w:rsidRDefault="002E75D6" w:rsidP="00BF3051"/>
    <w:p w14:paraId="6CBF092D" w14:textId="6B32BEA7" w:rsidR="00BF3051" w:rsidRPr="00AE4C1A" w:rsidRDefault="00D55251">
      <w:pPr>
        <w:spacing w:line="240" w:lineRule="auto"/>
        <w:rPr>
          <w:i/>
          <w:iCs/>
        </w:rPr>
      </w:pPr>
      <w:r w:rsidRPr="00AE4C1A">
        <w:rPr>
          <w:i/>
          <w:iCs/>
        </w:rPr>
        <w:t>Please note that starting from version 1.1.0, the internal FactSheet ID of SAP LeanIX will also be stored in th</w:t>
      </w:r>
      <w:r w:rsidR="00AE4C1A">
        <w:rPr>
          <w:i/>
          <w:iCs/>
        </w:rPr>
        <w:t>e hidden</w:t>
      </w:r>
      <w:r w:rsidRPr="00AE4C1A">
        <w:rPr>
          <w:i/>
          <w:iCs/>
        </w:rPr>
        <w:t xml:space="preserve"> 'APIHubId' field within Integration Assessment. This ID will then be reused when creating a FactSheet in SAP LeanIX </w:t>
      </w:r>
      <w:r w:rsidR="00AE4C1A" w:rsidRPr="00AE4C1A">
        <w:rPr>
          <w:i/>
          <w:iCs/>
        </w:rPr>
        <w:t>by using the Interface “Create SAP LeanIX Interface</w:t>
      </w:r>
      <w:r w:rsidR="00874DF5">
        <w:rPr>
          <w:i/>
          <w:iCs/>
        </w:rPr>
        <w:t xml:space="preserve"> </w:t>
      </w:r>
      <w:r w:rsidR="00810172">
        <w:rPr>
          <w:i/>
          <w:iCs/>
        </w:rPr>
        <w:t>Fact</w:t>
      </w:r>
      <w:r w:rsidR="00874DF5">
        <w:rPr>
          <w:i/>
          <w:iCs/>
        </w:rPr>
        <w:t>Sheet</w:t>
      </w:r>
      <w:r w:rsidR="00AE4C1A" w:rsidRPr="00AE4C1A">
        <w:rPr>
          <w:i/>
          <w:iCs/>
        </w:rPr>
        <w:t>”</w:t>
      </w:r>
      <w:r w:rsidRPr="00AE4C1A">
        <w:rPr>
          <w:i/>
          <w:iCs/>
        </w:rPr>
        <w:t>, establishing a link between the application</w:t>
      </w:r>
      <w:r w:rsidR="00AE4C1A" w:rsidRPr="00AE4C1A">
        <w:rPr>
          <w:i/>
          <w:iCs/>
        </w:rPr>
        <w:t>(s)</w:t>
      </w:r>
      <w:r w:rsidRPr="00AE4C1A">
        <w:rPr>
          <w:i/>
          <w:iCs/>
        </w:rPr>
        <w:t xml:space="preserve"> and the interface.</w:t>
      </w:r>
      <w:r w:rsidR="00BF3051" w:rsidRPr="00AE4C1A">
        <w:rPr>
          <w:i/>
          <w:iCs/>
        </w:rPr>
        <w:br w:type="page"/>
      </w:r>
    </w:p>
    <w:p w14:paraId="0327A573" w14:textId="29242C83" w:rsidR="00BF3051" w:rsidRDefault="00BF3051" w:rsidP="00BF3051">
      <w:pPr>
        <w:pStyle w:val="berschrift2"/>
      </w:pPr>
      <w:bookmarkStart w:id="7" w:name="_Toc175042885"/>
      <w:r w:rsidRPr="00BF3051">
        <w:lastRenderedPageBreak/>
        <w:t>Create Integration Assessment Vendor</w:t>
      </w:r>
      <w:bookmarkEnd w:id="7"/>
    </w:p>
    <w:p w14:paraId="645D742A" w14:textId="77777777" w:rsidR="00BF3051" w:rsidRDefault="00BF3051" w:rsidP="00BF3051"/>
    <w:p w14:paraId="51F04C37" w14:textId="05DCF999" w:rsidR="00BF3051" w:rsidRPr="002D713F" w:rsidRDefault="00BF3051" w:rsidP="00BF3051">
      <w:r w:rsidRPr="002D713F">
        <w:t xml:space="preserve">This interface updates a single provider in </w:t>
      </w:r>
      <w:r w:rsidR="00651A50">
        <w:t>Integration Assessment</w:t>
      </w:r>
      <w:r w:rsidRPr="002D713F">
        <w:t xml:space="preserve"> whenever a fact sheet of the type ‘</w:t>
      </w:r>
      <w:r>
        <w:t>provider</w:t>
      </w:r>
      <w:r w:rsidR="00726639">
        <w:t>’</w:t>
      </w:r>
      <w:r w:rsidRPr="002D713F">
        <w:t xml:space="preserve"> is created in </w:t>
      </w:r>
      <w:r w:rsidR="00651A50">
        <w:t>SAP LeanIX</w:t>
      </w:r>
      <w:r w:rsidRPr="002D713F">
        <w:t xml:space="preserve">. To enable this functionality, an event must be created in </w:t>
      </w:r>
      <w:r w:rsidR="00651A50">
        <w:t>SAP LeanIX</w:t>
      </w:r>
      <w:r w:rsidRPr="002D713F">
        <w:t xml:space="preserve"> Administration.</w:t>
      </w:r>
    </w:p>
    <w:p w14:paraId="0AA8B7A6" w14:textId="77777777" w:rsidR="00BF3051" w:rsidRDefault="00BF3051" w:rsidP="00BF3051">
      <w:r w:rsidRPr="002D713F">
        <w:t>To deploy this integration, configure the following parameters in the iFlow:</w:t>
      </w:r>
    </w:p>
    <w:p w14:paraId="6E896155" w14:textId="77777777" w:rsidR="003455A6" w:rsidRPr="00975912" w:rsidRDefault="003455A6" w:rsidP="00BF3051">
      <w:pPr>
        <w:rPr>
          <w:b/>
          <w:bCs/>
        </w:rPr>
      </w:pPr>
    </w:p>
    <w:p w14:paraId="059A015F" w14:textId="0093EE2C" w:rsidR="00BF3051" w:rsidRDefault="00BF3051" w:rsidP="00BF3051">
      <w:pPr>
        <w:rPr>
          <w:b/>
          <w:bCs/>
        </w:rPr>
      </w:pPr>
      <w:r w:rsidRPr="009F762E">
        <w:rPr>
          <w:b/>
          <w:bCs/>
        </w:rPr>
        <w:t xml:space="preserve">Receiver: </w:t>
      </w:r>
      <w:r w:rsidR="00651A50">
        <w:rPr>
          <w:b/>
          <w:bCs/>
        </w:rPr>
        <w:t>LeanIX</w:t>
      </w:r>
    </w:p>
    <w:p w14:paraId="769F1D50" w14:textId="77777777" w:rsidR="00B51ABF" w:rsidRDefault="00B51ABF" w:rsidP="00BF3051">
      <w:pPr>
        <w:rPr>
          <w:b/>
          <w:bCs/>
        </w:rPr>
      </w:pPr>
    </w:p>
    <w:tbl>
      <w:tblPr>
        <w:tblStyle w:val="Tabellenraster"/>
        <w:tblW w:w="0" w:type="auto"/>
        <w:tblLook w:val="04A0" w:firstRow="1" w:lastRow="0" w:firstColumn="1" w:lastColumn="0" w:noHBand="0" w:noVBand="1"/>
      </w:tblPr>
      <w:tblGrid>
        <w:gridCol w:w="1701"/>
        <w:gridCol w:w="7655"/>
      </w:tblGrid>
      <w:tr w:rsidR="00A11585" w14:paraId="4A153E58" w14:textId="77777777" w:rsidTr="00A115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14E2550" w14:textId="1C87B37D" w:rsidR="00A11585" w:rsidRDefault="00A11585" w:rsidP="00BF3051">
            <w:pPr>
              <w:rPr>
                <w:b w:val="0"/>
                <w:bCs/>
              </w:rPr>
            </w:pPr>
            <w:r>
              <w:rPr>
                <w:b w:val="0"/>
                <w:bCs/>
              </w:rPr>
              <w:t>User Role</w:t>
            </w:r>
          </w:p>
        </w:tc>
        <w:tc>
          <w:tcPr>
            <w:tcW w:w="7655" w:type="dxa"/>
          </w:tcPr>
          <w:p w14:paraId="4DFA34A5" w14:textId="5D5F4122" w:rsidR="00C77158" w:rsidRPr="00C77158" w:rsidRDefault="00D64E1E" w:rsidP="00BF3051">
            <w:pPr>
              <w:cnfStyle w:val="100000000000" w:firstRow="1" w:lastRow="0" w:firstColumn="0" w:lastColumn="0" w:oddVBand="0" w:evenVBand="0" w:oddHBand="0" w:evenHBand="0" w:firstRowFirstColumn="0" w:firstRowLastColumn="0" w:lastRowFirstColumn="0" w:lastRowLastColumn="0"/>
              <w:rPr>
                <w:bCs/>
              </w:rPr>
            </w:pPr>
            <w:r w:rsidRPr="00D64E1E">
              <w:rPr>
                <w:b w:val="0"/>
                <w:bCs/>
              </w:rPr>
              <w:t>The necessary user role for invocation with Basic Auth is by default "</w:t>
            </w:r>
            <w:r w:rsidRPr="001A2B1C">
              <w:t>ESBMessaging.send</w:t>
            </w:r>
            <w:r w:rsidRPr="00D64E1E">
              <w:rPr>
                <w:b w:val="0"/>
                <w:bCs/>
              </w:rPr>
              <w:t>". However, since this role often has access to multiple flows in the Integration Suite, for security reasons, it is advisable to create a unique user role and assign it to the iFlow. In LeanIX, the Basic Auth user could be read out and used for the invocation of additional iFlows</w:t>
            </w:r>
            <w:r w:rsidR="00C77158">
              <w:rPr>
                <w:b w:val="0"/>
                <w:bCs/>
              </w:rPr>
              <w:t>.</w:t>
            </w:r>
            <w:r w:rsidR="00CD6BC1">
              <w:rPr>
                <w:b w:val="0"/>
                <w:bCs/>
              </w:rPr>
              <w:br/>
            </w:r>
            <w:r w:rsidR="00D23627">
              <w:rPr>
                <w:bCs/>
              </w:rPr>
              <w:br/>
            </w:r>
            <w:r w:rsidR="00D23627" w:rsidRPr="00D23627">
              <w:rPr>
                <w:b w:val="0"/>
              </w:rPr>
              <w:t>For more information regarding setup and other details, please refer to the documentation at</w:t>
            </w:r>
            <w:r w:rsidR="00D23627">
              <w:rPr>
                <w:bCs/>
              </w:rPr>
              <w:t xml:space="preserve"> </w:t>
            </w:r>
            <w:hyperlink r:id="rId21" w:history="1">
              <w:r w:rsidR="00CD6BC1">
                <w:rPr>
                  <w:rStyle w:val="Hyperlink"/>
                  <w:b w:val="0"/>
                  <w:bCs/>
                </w:rPr>
                <w:t>SAP HELP</w:t>
              </w:r>
            </w:hyperlink>
          </w:p>
        </w:tc>
      </w:tr>
      <w:tr w:rsidR="00A11585" w14:paraId="02DDD630" w14:textId="77777777" w:rsidTr="00A11585">
        <w:tc>
          <w:tcPr>
            <w:cnfStyle w:val="001000000000" w:firstRow="0" w:lastRow="0" w:firstColumn="1" w:lastColumn="0" w:oddVBand="0" w:evenVBand="0" w:oddHBand="0" w:evenHBand="0" w:firstRowFirstColumn="0" w:firstRowLastColumn="0" w:lastRowFirstColumn="0" w:lastRowLastColumn="0"/>
            <w:tcW w:w="1701" w:type="dxa"/>
          </w:tcPr>
          <w:p w14:paraId="2C059701" w14:textId="7ABB71EA" w:rsidR="00A11585" w:rsidRDefault="00A11585" w:rsidP="00BF3051">
            <w:pPr>
              <w:rPr>
                <w:b w:val="0"/>
                <w:bCs/>
              </w:rPr>
            </w:pPr>
            <w:r>
              <w:rPr>
                <w:b w:val="0"/>
                <w:bCs/>
              </w:rPr>
              <w:t>Address</w:t>
            </w:r>
          </w:p>
        </w:tc>
        <w:tc>
          <w:tcPr>
            <w:tcW w:w="7655" w:type="dxa"/>
          </w:tcPr>
          <w:p w14:paraId="37ADDAF1" w14:textId="77777777" w:rsidR="00A11585" w:rsidRDefault="00A11585" w:rsidP="00A11585">
            <w:pPr>
              <w:spacing w:after="160" w:line="259" w:lineRule="auto"/>
              <w:cnfStyle w:val="000000000000" w:firstRow="0" w:lastRow="0" w:firstColumn="0" w:lastColumn="0" w:oddVBand="0" w:evenVBand="0" w:oddHBand="0" w:evenHBand="0" w:firstRowFirstColumn="0" w:firstRowLastColumn="0" w:lastRowFirstColumn="0" w:lastRowLastColumn="0"/>
            </w:pPr>
            <w:r w:rsidRPr="00621BE1">
              <w:t xml:space="preserve">Enter the </w:t>
            </w:r>
            <w:r>
              <w:t>SAP LeanIX</w:t>
            </w:r>
            <w:r w:rsidRPr="00621BE1">
              <w:t xml:space="preserve"> API URL. The address should follow this pattern:</w:t>
            </w:r>
            <w:r>
              <w:t xml:space="preserve"> </w:t>
            </w:r>
          </w:p>
          <w:p w14:paraId="6D7EBD74" w14:textId="07AE0C2F" w:rsidR="00A11585" w:rsidRPr="00A11585" w:rsidRDefault="00A11585" w:rsidP="00A11585">
            <w:pPr>
              <w:spacing w:after="160" w:line="259" w:lineRule="auto"/>
              <w:cnfStyle w:val="000000000000" w:firstRow="0" w:lastRow="0" w:firstColumn="0" w:lastColumn="0" w:oddVBand="0" w:evenVBand="0" w:oddHBand="0" w:evenHBand="0" w:firstRowFirstColumn="0" w:firstRowLastColumn="0" w:lastRowFirstColumn="0" w:lastRowLastColumn="0"/>
            </w:pPr>
            <w:r w:rsidRPr="00621BE1">
              <w:t>https://&lt;customerdomain&gt;.</w:t>
            </w:r>
            <w:r w:rsidR="001E17C0">
              <w:t>l</w:t>
            </w:r>
            <w:r>
              <w:t>ean</w:t>
            </w:r>
            <w:r w:rsidR="00DF3BF7">
              <w:t>ix</w:t>
            </w:r>
            <w:r w:rsidRPr="00621BE1">
              <w:t>.net/services/pathfinder/v1/graphql</w:t>
            </w:r>
          </w:p>
        </w:tc>
      </w:tr>
      <w:tr w:rsidR="00A11585" w14:paraId="6C3A02AB" w14:textId="77777777" w:rsidTr="00A11585">
        <w:tc>
          <w:tcPr>
            <w:cnfStyle w:val="001000000000" w:firstRow="0" w:lastRow="0" w:firstColumn="1" w:lastColumn="0" w:oddVBand="0" w:evenVBand="0" w:oddHBand="0" w:evenHBand="0" w:firstRowFirstColumn="0" w:firstRowLastColumn="0" w:lastRowFirstColumn="0" w:lastRowLastColumn="0"/>
            <w:tcW w:w="1701" w:type="dxa"/>
          </w:tcPr>
          <w:p w14:paraId="136EA2FE" w14:textId="7584C5F2" w:rsidR="00A11585" w:rsidRDefault="00A11585" w:rsidP="00BF3051">
            <w:pPr>
              <w:rPr>
                <w:b w:val="0"/>
                <w:bCs/>
              </w:rPr>
            </w:pPr>
            <w:r>
              <w:rPr>
                <w:b w:val="0"/>
                <w:bCs/>
              </w:rPr>
              <w:t>Credential Name</w:t>
            </w:r>
          </w:p>
        </w:tc>
        <w:tc>
          <w:tcPr>
            <w:tcW w:w="7655" w:type="dxa"/>
          </w:tcPr>
          <w:p w14:paraId="166F9C8E" w14:textId="55298277" w:rsidR="00A11585" w:rsidRDefault="00A11585" w:rsidP="00BF3051">
            <w:pPr>
              <w:cnfStyle w:val="000000000000" w:firstRow="0" w:lastRow="0" w:firstColumn="0" w:lastColumn="0" w:oddVBand="0" w:evenVBand="0" w:oddHBand="0" w:evenHBand="0" w:firstRowFirstColumn="0" w:firstRowLastColumn="0" w:lastRowFirstColumn="0" w:lastRowLastColumn="0"/>
              <w:rPr>
                <w:b/>
                <w:bCs/>
              </w:rPr>
            </w:pPr>
            <w:r w:rsidRPr="00621BE1">
              <w:t xml:space="preserve">Enter the </w:t>
            </w:r>
            <w:r w:rsidR="005959EA">
              <w:t xml:space="preserve">credential </w:t>
            </w:r>
            <w:r w:rsidRPr="00621BE1">
              <w:t xml:space="preserve">name of a </w:t>
            </w:r>
            <w:r>
              <w:t>SAP LeanIX</w:t>
            </w:r>
            <w:r w:rsidRPr="00621BE1">
              <w:t xml:space="preserve"> API user (OAuth2). To set this up, please create OAuth2 client credentials (refer</w:t>
            </w:r>
            <w:r>
              <w:t xml:space="preserve"> to</w:t>
            </w:r>
            <w:r w:rsidRPr="00621BE1">
              <w:t xml:space="preserve"> </w:t>
            </w:r>
            <w:hyperlink r:id="rId22" w:history="1">
              <w:r>
                <w:rPr>
                  <w:rStyle w:val="Hyperlink"/>
                </w:rPr>
                <w:t>SAP LeanIX</w:t>
              </w:r>
              <w:r w:rsidRPr="0005466B">
                <w:rPr>
                  <w:rStyle w:val="Hyperlink"/>
                </w:rPr>
                <w:t xml:space="preserve"> Developer Docs</w:t>
              </w:r>
            </w:hyperlink>
            <w:r w:rsidRPr="00621BE1">
              <w:t>) and add these credentials as security material (OAuth2 Credentials) in the SAP Integration Suite. Then, enter the created credentials.</w:t>
            </w:r>
          </w:p>
        </w:tc>
      </w:tr>
    </w:tbl>
    <w:p w14:paraId="4849B123" w14:textId="77777777" w:rsidR="00B51ABF" w:rsidRPr="009F762E" w:rsidRDefault="00B51ABF" w:rsidP="00BF3051">
      <w:pPr>
        <w:rPr>
          <w:b/>
          <w:bCs/>
        </w:rPr>
      </w:pPr>
    </w:p>
    <w:p w14:paraId="09964F52" w14:textId="77777777" w:rsidR="00BF3051" w:rsidRDefault="00BF3051" w:rsidP="00BF3051">
      <w:pPr>
        <w:rPr>
          <w:b/>
          <w:bCs/>
        </w:rPr>
      </w:pPr>
      <w:r w:rsidRPr="009F762E">
        <w:rPr>
          <w:b/>
          <w:bCs/>
        </w:rPr>
        <w:t>Receiver: SAP_Assessment</w:t>
      </w:r>
    </w:p>
    <w:p w14:paraId="279391A8" w14:textId="77777777" w:rsidR="00EC3324" w:rsidRDefault="00EC3324" w:rsidP="00BF3051">
      <w:pPr>
        <w:rPr>
          <w:b/>
          <w:bCs/>
        </w:rPr>
      </w:pPr>
    </w:p>
    <w:tbl>
      <w:tblPr>
        <w:tblStyle w:val="Tabellenraster"/>
        <w:tblW w:w="0" w:type="auto"/>
        <w:tblLook w:val="04A0" w:firstRow="1" w:lastRow="0" w:firstColumn="1" w:lastColumn="0" w:noHBand="0" w:noVBand="1"/>
      </w:tblPr>
      <w:tblGrid>
        <w:gridCol w:w="1701"/>
        <w:gridCol w:w="7937"/>
      </w:tblGrid>
      <w:tr w:rsidR="00EC3324" w14:paraId="20493343" w14:textId="77777777" w:rsidTr="00EC3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9CD7FCC" w14:textId="3EE09379" w:rsidR="00EC3324" w:rsidRPr="00EC3324" w:rsidRDefault="00EC3324" w:rsidP="00BF3051">
            <w:pPr>
              <w:rPr>
                <w:b w:val="0"/>
              </w:rPr>
            </w:pPr>
            <w:r w:rsidRPr="00EC3324">
              <w:rPr>
                <w:b w:val="0"/>
              </w:rPr>
              <w:t>Address</w:t>
            </w:r>
          </w:p>
        </w:tc>
        <w:tc>
          <w:tcPr>
            <w:tcW w:w="7937" w:type="dxa"/>
          </w:tcPr>
          <w:p w14:paraId="7BAC691B" w14:textId="7110109F" w:rsidR="00EC3324" w:rsidRPr="00EC3324" w:rsidRDefault="00EC3324" w:rsidP="00EC3324">
            <w:pPr>
              <w:spacing w:after="160" w:line="259" w:lineRule="auto"/>
              <w:cnfStyle w:val="100000000000" w:firstRow="1" w:lastRow="0" w:firstColumn="0" w:lastColumn="0" w:oddVBand="0" w:evenVBand="0" w:oddHBand="0" w:evenHBand="0" w:firstRowFirstColumn="0" w:firstRowLastColumn="0" w:lastRowFirstColumn="0" w:lastRowLastColumn="0"/>
              <w:rPr>
                <w:bCs/>
              </w:rPr>
            </w:pPr>
            <w:r w:rsidRPr="00EC3324">
              <w:rPr>
                <w:b w:val="0"/>
                <w:bCs/>
              </w:rPr>
              <w:t>Use the Integration Assessment Vendor URL, following this pattern:</w:t>
            </w:r>
            <w:r>
              <w:rPr>
                <w:bCs/>
              </w:rPr>
              <w:br/>
            </w:r>
            <w:r w:rsidRPr="00EC3324">
              <w:rPr>
                <w:b w:val="0"/>
                <w:bCs/>
              </w:rPr>
              <w:br/>
              <w:t>https://&lt;customerdomain&gt;.hana.ondemand.com/intas/entities/v1/</w:t>
            </w:r>
            <w:r w:rsidRPr="00ED2EFC">
              <w:rPr>
                <w:bCs/>
              </w:rPr>
              <w:t>Vendor</w:t>
            </w:r>
          </w:p>
        </w:tc>
      </w:tr>
      <w:tr w:rsidR="00EC3324" w14:paraId="009658A3" w14:textId="77777777" w:rsidTr="00EC3324">
        <w:tc>
          <w:tcPr>
            <w:cnfStyle w:val="001000000000" w:firstRow="0" w:lastRow="0" w:firstColumn="1" w:lastColumn="0" w:oddVBand="0" w:evenVBand="0" w:oddHBand="0" w:evenHBand="0" w:firstRowFirstColumn="0" w:firstRowLastColumn="0" w:lastRowFirstColumn="0" w:lastRowLastColumn="0"/>
            <w:tcW w:w="1701" w:type="dxa"/>
          </w:tcPr>
          <w:p w14:paraId="33404DF5" w14:textId="7726AB58" w:rsidR="00EC3324" w:rsidRDefault="00EC3324" w:rsidP="00EC3324">
            <w:pPr>
              <w:rPr>
                <w:b w:val="0"/>
                <w:bCs/>
              </w:rPr>
            </w:pPr>
            <w:r>
              <w:rPr>
                <w:b w:val="0"/>
                <w:bCs/>
              </w:rPr>
              <w:t>Credential Name</w:t>
            </w:r>
          </w:p>
        </w:tc>
        <w:tc>
          <w:tcPr>
            <w:tcW w:w="7937" w:type="dxa"/>
          </w:tcPr>
          <w:p w14:paraId="44FB87D2" w14:textId="16B162F7" w:rsidR="00EC3324" w:rsidRDefault="00EC3324" w:rsidP="00EC3324">
            <w:pPr>
              <w:cnfStyle w:val="000000000000" w:firstRow="0" w:lastRow="0" w:firstColumn="0" w:lastColumn="0" w:oddVBand="0" w:evenVBand="0" w:oddHBand="0" w:evenHBand="0" w:firstRowFirstColumn="0" w:firstRowLastColumn="0" w:lastRowFirstColumn="0" w:lastRowLastColumn="0"/>
              <w:rPr>
                <w:b/>
                <w:bCs/>
              </w:rPr>
            </w:pPr>
            <w:r w:rsidRPr="003C2183">
              <w:t xml:space="preserve">Use your </w:t>
            </w:r>
            <w:r>
              <w:t>Integration Assessment</w:t>
            </w:r>
            <w:r w:rsidRPr="003C2183">
              <w:t xml:space="preserve"> </w:t>
            </w:r>
            <w:r>
              <w:t>Credentials</w:t>
            </w:r>
            <w:r w:rsidRPr="003C2183">
              <w:t xml:space="preserve"> (OAuth2). To set this up, create OAuth2 client credentials (see </w:t>
            </w:r>
            <w:hyperlink r:id="rId23" w:history="1">
              <w:r w:rsidRPr="00141443">
                <w:rPr>
                  <w:rStyle w:val="Hyperlink"/>
                </w:rPr>
                <w:t>SAP HELP</w:t>
              </w:r>
            </w:hyperlink>
            <w:r w:rsidRPr="003C2183">
              <w:t>) and add these credentials as security material (OAuth2 Credentials) in the SAP Integration Suite. Then, enter the created credentials</w:t>
            </w:r>
            <w:r>
              <w:t>.</w:t>
            </w:r>
          </w:p>
        </w:tc>
      </w:tr>
    </w:tbl>
    <w:p w14:paraId="40EA5457" w14:textId="77777777" w:rsidR="00EC3324" w:rsidRPr="009F762E" w:rsidRDefault="00EC3324" w:rsidP="00BF3051">
      <w:pPr>
        <w:rPr>
          <w:b/>
          <w:bCs/>
        </w:rPr>
      </w:pPr>
    </w:p>
    <w:p w14:paraId="3B9BA93E" w14:textId="77777777" w:rsidR="00BF3051" w:rsidRPr="00BA5838" w:rsidRDefault="00BF3051" w:rsidP="00BF3051">
      <w:r w:rsidRPr="00BA5838">
        <w:t>Ensure the client credentials are functioning correctly before deploying the iFlow.</w:t>
      </w:r>
    </w:p>
    <w:p w14:paraId="5DB88145" w14:textId="4393EAA6" w:rsidR="00BF3051" w:rsidRDefault="00BF3051" w:rsidP="00BF3051">
      <w:r w:rsidRPr="00BA5838">
        <w:t xml:space="preserve">After successful deployment, it is necessary to add an event in </w:t>
      </w:r>
      <w:r w:rsidR="00651A50">
        <w:t>SAP LeanIX</w:t>
      </w:r>
      <w:r w:rsidRPr="00BA5838">
        <w:t>. This event will trigger whenever a fact sheet of the type ‘provider’ is created.</w:t>
      </w:r>
    </w:p>
    <w:p w14:paraId="27FBF0F8" w14:textId="28946311" w:rsidR="00C14B99" w:rsidRDefault="00C14B99">
      <w:pPr>
        <w:spacing w:line="240" w:lineRule="auto"/>
      </w:pPr>
      <w:r>
        <w:br w:type="page"/>
      </w:r>
    </w:p>
    <w:p w14:paraId="6E7183C6" w14:textId="6B717331" w:rsidR="00EC3324" w:rsidRDefault="00BF3051" w:rsidP="00BF3051">
      <w:pPr>
        <w:rPr>
          <w:b/>
          <w:bCs/>
        </w:rPr>
      </w:pPr>
      <w:r w:rsidRPr="00BA5838">
        <w:rPr>
          <w:b/>
          <w:bCs/>
        </w:rPr>
        <w:lastRenderedPageBreak/>
        <w:t xml:space="preserve">To set up the event in </w:t>
      </w:r>
      <w:r w:rsidR="00651A50">
        <w:rPr>
          <w:b/>
          <w:bCs/>
        </w:rPr>
        <w:t>SAP LeanIX</w:t>
      </w:r>
      <w:r w:rsidRPr="00BA5838">
        <w:rPr>
          <w:b/>
          <w:bCs/>
        </w:rPr>
        <w:t>:</w:t>
      </w:r>
    </w:p>
    <w:p w14:paraId="72A389D4" w14:textId="77777777" w:rsidR="00EC3324" w:rsidRPr="00B86BDD" w:rsidRDefault="00EC3324" w:rsidP="00BF3051">
      <w:pPr>
        <w:rPr>
          <w:b/>
          <w:bCs/>
        </w:rPr>
      </w:pPr>
    </w:p>
    <w:p w14:paraId="70D063B3" w14:textId="51AF3668" w:rsidR="00BF3051" w:rsidRPr="00BA5838" w:rsidRDefault="00BF3051" w:rsidP="00BF3051">
      <w:pPr>
        <w:pStyle w:val="Listenabsatz"/>
        <w:numPr>
          <w:ilvl w:val="0"/>
          <w:numId w:val="23"/>
        </w:numPr>
        <w:spacing w:after="160" w:line="259" w:lineRule="auto"/>
      </w:pPr>
      <w:r>
        <w:t>Go</w:t>
      </w:r>
      <w:r w:rsidRPr="00BA5838">
        <w:t xml:space="preserve"> to your </w:t>
      </w:r>
      <w:r w:rsidR="00651A50">
        <w:t>SAP LeanIX</w:t>
      </w:r>
      <w:r w:rsidRPr="00BA5838">
        <w:t xml:space="preserve"> instance and access the administration area. </w:t>
      </w:r>
      <w:r w:rsidRPr="000E7764">
        <w:rPr>
          <w:noProof/>
        </w:rPr>
        <w:drawing>
          <wp:inline distT="0" distB="0" distL="0" distR="0" wp14:anchorId="18B22CB7" wp14:editId="066A209B">
            <wp:extent cx="5760720" cy="25177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2517775"/>
                    </a:xfrm>
                    <a:prstGeom prst="rect">
                      <a:avLst/>
                    </a:prstGeom>
                  </pic:spPr>
                </pic:pic>
              </a:graphicData>
            </a:graphic>
          </wp:inline>
        </w:drawing>
      </w:r>
    </w:p>
    <w:p w14:paraId="058DBC86" w14:textId="77777777" w:rsidR="00BF3051" w:rsidRPr="00BA5838" w:rsidRDefault="00BF3051" w:rsidP="00BF3051">
      <w:pPr>
        <w:pStyle w:val="Listenabsatz"/>
        <w:numPr>
          <w:ilvl w:val="0"/>
          <w:numId w:val="23"/>
        </w:numPr>
        <w:spacing w:after="160" w:line="259" w:lineRule="auto"/>
      </w:pPr>
      <w:r w:rsidRPr="00BA5838">
        <w:t>Click on the last item on the left side, “webhooks”, and create a new webhook.</w:t>
      </w:r>
    </w:p>
    <w:p w14:paraId="298602C6" w14:textId="77777777" w:rsidR="00BF3051" w:rsidRDefault="00BF3051" w:rsidP="00BF3051">
      <w:pPr>
        <w:pStyle w:val="Listenabsatz"/>
        <w:numPr>
          <w:ilvl w:val="0"/>
          <w:numId w:val="23"/>
        </w:numPr>
        <w:spacing w:after="160" w:line="259" w:lineRule="auto"/>
      </w:pPr>
      <w:r w:rsidRPr="00BA5838">
        <w:t>Configure the webhook as follows:</w:t>
      </w:r>
      <w:r>
        <w:t xml:space="preserve"> </w:t>
      </w:r>
    </w:p>
    <w:tbl>
      <w:tblPr>
        <w:tblStyle w:val="Tabellenraster"/>
        <w:tblW w:w="9174" w:type="dxa"/>
        <w:tblLook w:val="04A0" w:firstRow="1" w:lastRow="0" w:firstColumn="1" w:lastColumn="0" w:noHBand="0" w:noVBand="1"/>
      </w:tblPr>
      <w:tblGrid>
        <w:gridCol w:w="4587"/>
        <w:gridCol w:w="4587"/>
      </w:tblGrid>
      <w:tr w:rsidR="00BF3051" w14:paraId="655A3156" w14:textId="77777777" w:rsidTr="00AD1DD2">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587" w:type="dxa"/>
          </w:tcPr>
          <w:p w14:paraId="15253236" w14:textId="77777777" w:rsidR="00BF3051" w:rsidRDefault="00BF3051" w:rsidP="00AD1DD2">
            <w:r>
              <w:t>Triggering Events</w:t>
            </w:r>
          </w:p>
        </w:tc>
        <w:tc>
          <w:tcPr>
            <w:tcW w:w="4587" w:type="dxa"/>
          </w:tcPr>
          <w:p w14:paraId="4F03F1A5" w14:textId="77777777" w:rsidR="00BF3051" w:rsidRDefault="00BF3051" w:rsidP="00AD1DD2">
            <w:pPr>
              <w:cnfStyle w:val="100000000000" w:firstRow="1" w:lastRow="0" w:firstColumn="0" w:lastColumn="0" w:oddVBand="0" w:evenVBand="0" w:oddHBand="0" w:evenHBand="0" w:firstRowFirstColumn="0" w:firstRowLastColumn="0" w:lastRowFirstColumn="0" w:lastRowLastColumn="0"/>
            </w:pPr>
            <w:r>
              <w:t>FACT_SHEET_CREATED</w:t>
            </w:r>
          </w:p>
        </w:tc>
      </w:tr>
      <w:tr w:rsidR="00BF3051" w14:paraId="78455C51" w14:textId="77777777" w:rsidTr="00AD1DD2">
        <w:trPr>
          <w:trHeight w:val="327"/>
        </w:trPr>
        <w:tc>
          <w:tcPr>
            <w:cnfStyle w:val="001000000000" w:firstRow="0" w:lastRow="0" w:firstColumn="1" w:lastColumn="0" w:oddVBand="0" w:evenVBand="0" w:oddHBand="0" w:evenHBand="0" w:firstRowFirstColumn="0" w:firstRowLastColumn="0" w:lastRowFirstColumn="0" w:lastRowLastColumn="0"/>
            <w:tcW w:w="4587" w:type="dxa"/>
          </w:tcPr>
          <w:p w14:paraId="5023ADBF" w14:textId="77777777" w:rsidR="00BF3051" w:rsidRDefault="00BF3051" w:rsidP="00AD1DD2">
            <w:r>
              <w:t>Managing User</w:t>
            </w:r>
          </w:p>
        </w:tc>
        <w:tc>
          <w:tcPr>
            <w:tcW w:w="4587" w:type="dxa"/>
          </w:tcPr>
          <w:p w14:paraId="03CD5BBF" w14:textId="77777777" w:rsidR="00BF3051" w:rsidRDefault="00BF3051" w:rsidP="00AD1DD2">
            <w:pPr>
              <w:cnfStyle w:val="000000000000" w:firstRow="0" w:lastRow="0" w:firstColumn="0" w:lastColumn="0" w:oddVBand="0" w:evenVBand="0" w:oddHBand="0" w:evenHBand="0" w:firstRowFirstColumn="0" w:firstRowLastColumn="0" w:lastRowFirstColumn="0" w:lastRowLastColumn="0"/>
            </w:pPr>
            <w:r>
              <w:t>Current User</w:t>
            </w:r>
          </w:p>
        </w:tc>
      </w:tr>
      <w:tr w:rsidR="00BF3051" w14:paraId="75149DE9" w14:textId="77777777" w:rsidTr="00AD1DD2">
        <w:trPr>
          <w:trHeight w:val="342"/>
        </w:trPr>
        <w:tc>
          <w:tcPr>
            <w:cnfStyle w:val="001000000000" w:firstRow="0" w:lastRow="0" w:firstColumn="1" w:lastColumn="0" w:oddVBand="0" w:evenVBand="0" w:oddHBand="0" w:evenHBand="0" w:firstRowFirstColumn="0" w:firstRowLastColumn="0" w:lastRowFirstColumn="0" w:lastRowLastColumn="0"/>
            <w:tcW w:w="4587" w:type="dxa"/>
          </w:tcPr>
          <w:p w14:paraId="17F37688" w14:textId="77777777" w:rsidR="00BF3051" w:rsidRDefault="00BF3051" w:rsidP="00AD1DD2">
            <w:r>
              <w:t>Type</w:t>
            </w:r>
          </w:p>
        </w:tc>
        <w:tc>
          <w:tcPr>
            <w:tcW w:w="4587" w:type="dxa"/>
          </w:tcPr>
          <w:p w14:paraId="7216F07B" w14:textId="77777777" w:rsidR="00BF3051" w:rsidRDefault="00BF3051" w:rsidP="00AD1DD2">
            <w:pPr>
              <w:cnfStyle w:val="000000000000" w:firstRow="0" w:lastRow="0" w:firstColumn="0" w:lastColumn="0" w:oddVBand="0" w:evenVBand="0" w:oddHBand="0" w:evenHBand="0" w:firstRowFirstColumn="0" w:firstRowLastColumn="0" w:lastRowFirstColumn="0" w:lastRowLastColumn="0"/>
            </w:pPr>
            <w:r>
              <w:t>PUSH</w:t>
            </w:r>
          </w:p>
        </w:tc>
      </w:tr>
      <w:tr w:rsidR="00BF3051" w:rsidRPr="00111ADD" w14:paraId="067E4F0E" w14:textId="77777777" w:rsidTr="00AD1DD2">
        <w:trPr>
          <w:trHeight w:val="654"/>
        </w:trPr>
        <w:tc>
          <w:tcPr>
            <w:cnfStyle w:val="001000000000" w:firstRow="0" w:lastRow="0" w:firstColumn="1" w:lastColumn="0" w:oddVBand="0" w:evenVBand="0" w:oddHBand="0" w:evenHBand="0" w:firstRowFirstColumn="0" w:firstRowLastColumn="0" w:lastRowFirstColumn="0" w:lastRowLastColumn="0"/>
            <w:tcW w:w="4587" w:type="dxa"/>
          </w:tcPr>
          <w:p w14:paraId="32FADDF8" w14:textId="77777777" w:rsidR="00BF3051" w:rsidRDefault="00BF3051" w:rsidP="00AD1DD2">
            <w:r>
              <w:t>Target URL (iFlow URL)</w:t>
            </w:r>
          </w:p>
        </w:tc>
        <w:tc>
          <w:tcPr>
            <w:tcW w:w="4587" w:type="dxa"/>
          </w:tcPr>
          <w:p w14:paraId="5D224357" w14:textId="4C2A345D" w:rsidR="00BF3051" w:rsidRDefault="00BF3051" w:rsidP="00AD1DD2">
            <w:pPr>
              <w:cnfStyle w:val="000000000000" w:firstRow="0" w:lastRow="0" w:firstColumn="0" w:lastColumn="0" w:oddVBand="0" w:evenVBand="0" w:oddHBand="0" w:evenHBand="0" w:firstRowFirstColumn="0" w:firstRowLastColumn="0" w:lastRowFirstColumn="0" w:lastRowLastColumn="0"/>
            </w:pPr>
            <w:r>
              <w:t>&lt;your-</w:t>
            </w:r>
            <w:r w:rsidR="00597F6F">
              <w:t>SAP-</w:t>
            </w:r>
            <w:r>
              <w:t>Integration-Suite-instance&gt;</w:t>
            </w:r>
            <w:r w:rsidRPr="00C91957">
              <w:t>/http/integration-assessment/vendors</w:t>
            </w:r>
          </w:p>
        </w:tc>
      </w:tr>
      <w:tr w:rsidR="00BF3051" w:rsidRPr="00111ADD" w14:paraId="233D9797" w14:textId="77777777" w:rsidTr="00AD1DD2">
        <w:trPr>
          <w:trHeight w:val="669"/>
        </w:trPr>
        <w:tc>
          <w:tcPr>
            <w:cnfStyle w:val="001000000000" w:firstRow="0" w:lastRow="0" w:firstColumn="1" w:lastColumn="0" w:oddVBand="0" w:evenVBand="0" w:oddHBand="0" w:evenHBand="0" w:firstRowFirstColumn="0" w:firstRowLastColumn="0" w:lastRowFirstColumn="0" w:lastRowLastColumn="0"/>
            <w:tcW w:w="4587" w:type="dxa"/>
          </w:tcPr>
          <w:p w14:paraId="36AB7586" w14:textId="77777777" w:rsidR="00BF3051" w:rsidRDefault="00BF3051" w:rsidP="00AD1DD2">
            <w:r>
              <w:t>Authorization</w:t>
            </w:r>
          </w:p>
        </w:tc>
        <w:tc>
          <w:tcPr>
            <w:tcW w:w="4587" w:type="dxa"/>
          </w:tcPr>
          <w:p w14:paraId="6AC85A50" w14:textId="48BC1BC0" w:rsidR="00BF3051" w:rsidRDefault="00BF3051" w:rsidP="00AD1DD2">
            <w:pPr>
              <w:cnfStyle w:val="000000000000" w:firstRow="0" w:lastRow="0" w:firstColumn="0" w:lastColumn="0" w:oddVBand="0" w:evenVBand="0" w:oddHBand="0" w:evenHBand="0" w:firstRowFirstColumn="0" w:firstRowLastColumn="0" w:lastRowFirstColumn="0" w:lastRowLastColumn="0"/>
            </w:pPr>
            <w:r>
              <w:t xml:space="preserve">&lt;Add basic auth user for your </w:t>
            </w:r>
            <w:r w:rsidR="00597F6F">
              <w:t>SAP I</w:t>
            </w:r>
            <w:r>
              <w:t xml:space="preserve">ntegration </w:t>
            </w:r>
            <w:r w:rsidR="00597F6F">
              <w:t>S</w:t>
            </w:r>
            <w:r>
              <w:t>uite, which is authorized to call iflows&gt;</w:t>
            </w:r>
          </w:p>
        </w:tc>
      </w:tr>
      <w:tr w:rsidR="00BF3051" w14:paraId="20D3B650" w14:textId="77777777" w:rsidTr="00AD1DD2">
        <w:trPr>
          <w:trHeight w:val="2010"/>
        </w:trPr>
        <w:tc>
          <w:tcPr>
            <w:cnfStyle w:val="001000000000" w:firstRow="0" w:lastRow="0" w:firstColumn="1" w:lastColumn="0" w:oddVBand="0" w:evenVBand="0" w:oddHBand="0" w:evenHBand="0" w:firstRowFirstColumn="0" w:firstRowLastColumn="0" w:lastRowFirstColumn="0" w:lastRowLastColumn="0"/>
            <w:tcW w:w="4587" w:type="dxa"/>
          </w:tcPr>
          <w:p w14:paraId="0CED3E52" w14:textId="77777777" w:rsidR="00BF3051" w:rsidRDefault="00BF3051" w:rsidP="00AD1DD2">
            <w:r>
              <w:t>Callback</w:t>
            </w:r>
          </w:p>
        </w:tc>
        <w:tc>
          <w:tcPr>
            <w:tcW w:w="4587" w:type="dxa"/>
          </w:tcPr>
          <w:p w14:paraId="047C87B1" w14:textId="77777777" w:rsidR="00BF3051" w:rsidRPr="00975912" w:rsidRDefault="00BF3051" w:rsidP="00AD1DD2">
            <w:pPr>
              <w:cnfStyle w:val="000000000000" w:firstRow="0" w:lastRow="0" w:firstColumn="0" w:lastColumn="0" w:oddVBand="0" w:evenVBand="0" w:oddHBand="0" w:evenHBand="0" w:firstRowFirstColumn="0" w:firstRowLastColumn="0" w:lastRowFirstColumn="0" w:lastRowLastColumn="0"/>
            </w:pPr>
            <w:r w:rsidRPr="00975912">
              <w:t>delivery.active = false;</w:t>
            </w:r>
          </w:p>
          <w:p w14:paraId="386E31BF" w14:textId="77777777" w:rsidR="00BF3051" w:rsidRPr="00975912" w:rsidRDefault="00BF3051" w:rsidP="00AD1DD2">
            <w:pPr>
              <w:cnfStyle w:val="000000000000" w:firstRow="0" w:lastRow="0" w:firstColumn="0" w:lastColumn="0" w:oddVBand="0" w:evenVBand="0" w:oddHBand="0" w:evenHBand="0" w:firstRowFirstColumn="0" w:firstRowLastColumn="0" w:lastRowFirstColumn="0" w:lastRowLastColumn="0"/>
            </w:pPr>
            <w:r w:rsidRPr="00975912">
              <w:t xml:space="preserve"> </w:t>
            </w:r>
          </w:p>
          <w:p w14:paraId="767738D0" w14:textId="77777777" w:rsidR="00BF3051" w:rsidRPr="00975912" w:rsidRDefault="00BF3051" w:rsidP="00AD1DD2">
            <w:pPr>
              <w:cnfStyle w:val="000000000000" w:firstRow="0" w:lastRow="0" w:firstColumn="0" w:lastColumn="0" w:oddVBand="0" w:evenVBand="0" w:oddHBand="0" w:evenHBand="0" w:firstRowFirstColumn="0" w:firstRowLastColumn="0" w:lastRowFirstColumn="0" w:lastRowLastColumn="0"/>
            </w:pPr>
            <w:r w:rsidRPr="00975912">
              <w:t>if (delivery.payload.factSheet.type == 'Provider' ) {</w:t>
            </w:r>
          </w:p>
          <w:p w14:paraId="56CB67E4" w14:textId="77777777" w:rsidR="00BF3051" w:rsidRPr="00975912" w:rsidRDefault="00BF3051" w:rsidP="00AD1DD2">
            <w:pPr>
              <w:cnfStyle w:val="000000000000" w:firstRow="0" w:lastRow="0" w:firstColumn="0" w:lastColumn="0" w:oddVBand="0" w:evenVBand="0" w:oddHBand="0" w:evenHBand="0" w:firstRowFirstColumn="0" w:firstRowLastColumn="0" w:lastRowFirstColumn="0" w:lastRowLastColumn="0"/>
            </w:pPr>
            <w:r w:rsidRPr="00975912">
              <w:t xml:space="preserve">  delivery.active = true;</w:t>
            </w:r>
          </w:p>
          <w:p w14:paraId="545D780F" w14:textId="77777777" w:rsidR="00BF3051" w:rsidRDefault="00BF3051" w:rsidP="00AD1DD2">
            <w:pPr>
              <w:cnfStyle w:val="000000000000" w:firstRow="0" w:lastRow="0" w:firstColumn="0" w:lastColumn="0" w:oddVBand="0" w:evenVBand="0" w:oddHBand="0" w:evenHBand="0" w:firstRowFirstColumn="0" w:firstRowLastColumn="0" w:lastRowFirstColumn="0" w:lastRowLastColumn="0"/>
            </w:pPr>
            <w:r w:rsidRPr="00975912">
              <w:t>}</w:t>
            </w:r>
          </w:p>
        </w:tc>
      </w:tr>
      <w:tr w:rsidR="00BF3051" w14:paraId="51C87FA1" w14:textId="77777777" w:rsidTr="00AD1DD2">
        <w:trPr>
          <w:trHeight w:val="327"/>
        </w:trPr>
        <w:tc>
          <w:tcPr>
            <w:cnfStyle w:val="001000000000" w:firstRow="0" w:lastRow="0" w:firstColumn="1" w:lastColumn="0" w:oddVBand="0" w:evenVBand="0" w:oddHBand="0" w:evenHBand="0" w:firstRowFirstColumn="0" w:firstRowLastColumn="0" w:lastRowFirstColumn="0" w:lastRowLastColumn="0"/>
            <w:tcW w:w="4587" w:type="dxa"/>
          </w:tcPr>
          <w:p w14:paraId="7505CCE3" w14:textId="77777777" w:rsidR="00BF3051" w:rsidRDefault="00BF3051" w:rsidP="00AD1DD2">
            <w:r>
              <w:t>Status</w:t>
            </w:r>
          </w:p>
        </w:tc>
        <w:tc>
          <w:tcPr>
            <w:tcW w:w="4587" w:type="dxa"/>
          </w:tcPr>
          <w:p w14:paraId="7A9218A6" w14:textId="77777777" w:rsidR="00BF3051" w:rsidRDefault="00BF3051" w:rsidP="00AD1DD2">
            <w:pPr>
              <w:cnfStyle w:val="000000000000" w:firstRow="0" w:lastRow="0" w:firstColumn="0" w:lastColumn="0" w:oddVBand="0" w:evenVBand="0" w:oddHBand="0" w:evenHBand="0" w:firstRowFirstColumn="0" w:firstRowLastColumn="0" w:lastRowFirstColumn="0" w:lastRowLastColumn="0"/>
            </w:pPr>
            <w:r>
              <w:t>active</w:t>
            </w:r>
          </w:p>
        </w:tc>
      </w:tr>
    </w:tbl>
    <w:p w14:paraId="13D52FEA" w14:textId="77777777" w:rsidR="00BF3051" w:rsidRDefault="00BF3051" w:rsidP="00BF3051"/>
    <w:p w14:paraId="749BD11D" w14:textId="25163F52" w:rsidR="00BF3051" w:rsidRPr="00BA5838" w:rsidRDefault="00BF3051" w:rsidP="00BF3051">
      <w:r w:rsidRPr="00BA5838">
        <w:t xml:space="preserve">Once everything is set up correctly, a vendor should be automatically created in </w:t>
      </w:r>
      <w:r w:rsidR="00651A50">
        <w:t>Integration Assessment</w:t>
      </w:r>
      <w:r w:rsidRPr="00BA5838">
        <w:t xml:space="preserve"> whenever the specified event occurs in </w:t>
      </w:r>
      <w:r w:rsidR="00651A50">
        <w:t>SAP LeanIX</w:t>
      </w:r>
      <w:r w:rsidRPr="00BA5838">
        <w:t>.</w:t>
      </w:r>
    </w:p>
    <w:p w14:paraId="6BCC6A2A" w14:textId="57966D98" w:rsidR="00BF3051" w:rsidRDefault="00BF3051">
      <w:pPr>
        <w:spacing w:line="240" w:lineRule="auto"/>
      </w:pPr>
      <w:r>
        <w:br w:type="page"/>
      </w:r>
    </w:p>
    <w:p w14:paraId="64644A87" w14:textId="7D7E9835" w:rsidR="00BF3051" w:rsidRDefault="00BF3051" w:rsidP="00BF3051">
      <w:pPr>
        <w:pStyle w:val="berschrift2"/>
      </w:pPr>
      <w:bookmarkStart w:id="8" w:name="_Toc175042886"/>
      <w:r w:rsidRPr="00BF3051">
        <w:lastRenderedPageBreak/>
        <w:t>Create Integration Assessment Application</w:t>
      </w:r>
      <w:bookmarkEnd w:id="8"/>
    </w:p>
    <w:p w14:paraId="2EBD97B0" w14:textId="77777777" w:rsidR="00BF3051" w:rsidRDefault="00BF3051" w:rsidP="00BF3051"/>
    <w:p w14:paraId="1AE6D9AE" w14:textId="34B36260" w:rsidR="00BF3051" w:rsidRPr="002D713F" w:rsidRDefault="00BF3051" w:rsidP="00BF3051">
      <w:r w:rsidRPr="002D713F">
        <w:t xml:space="preserve">This interface updates a single </w:t>
      </w:r>
      <w:r>
        <w:t>application</w:t>
      </w:r>
      <w:r w:rsidRPr="002D713F">
        <w:t xml:space="preserve"> in </w:t>
      </w:r>
      <w:r w:rsidR="00651A50">
        <w:t>Integration Assessment</w:t>
      </w:r>
      <w:r w:rsidRPr="002D713F">
        <w:t xml:space="preserve"> whenever a fact sheet of the type ‘</w:t>
      </w:r>
      <w:r>
        <w:t>provider</w:t>
      </w:r>
      <w:r w:rsidRPr="002D713F">
        <w:t xml:space="preserve"> is created in </w:t>
      </w:r>
      <w:r w:rsidR="00651A50">
        <w:t>SAP LeanIX</w:t>
      </w:r>
      <w:r w:rsidRPr="002D713F">
        <w:t xml:space="preserve">. To enable this functionality, an event must be created in </w:t>
      </w:r>
      <w:r w:rsidR="00651A50">
        <w:t>SAP LeanIX</w:t>
      </w:r>
      <w:r w:rsidRPr="002D713F">
        <w:t xml:space="preserve"> Administration.</w:t>
      </w:r>
      <w:r>
        <w:t xml:space="preserve"> </w:t>
      </w:r>
      <w:r w:rsidRPr="00604D59">
        <w:t xml:space="preserve">Optionally, application instances </w:t>
      </w:r>
      <w:r>
        <w:t>c</w:t>
      </w:r>
      <w:r w:rsidRPr="00604D59">
        <w:t>an also be synchronized</w:t>
      </w:r>
      <w:r>
        <w:t>, but will always be set to onpremise.</w:t>
      </w:r>
    </w:p>
    <w:p w14:paraId="2539A5A7" w14:textId="77777777" w:rsidR="00BF3051" w:rsidRDefault="00BF3051" w:rsidP="00BF3051">
      <w:r w:rsidRPr="002D713F">
        <w:t>To deploy this integration, configure the following parameters in the iFlow:</w:t>
      </w:r>
    </w:p>
    <w:p w14:paraId="22E7B749" w14:textId="77777777" w:rsidR="00C14B99" w:rsidRDefault="00C14B99" w:rsidP="00BF3051"/>
    <w:p w14:paraId="21CF0EB0" w14:textId="77777777" w:rsidR="00C14B99" w:rsidRPr="00975912" w:rsidRDefault="00C14B99" w:rsidP="00BF3051">
      <w:pPr>
        <w:rPr>
          <w:b/>
          <w:bCs/>
        </w:rPr>
      </w:pPr>
    </w:p>
    <w:p w14:paraId="2F94CF69" w14:textId="4D12A705" w:rsidR="00BF3051" w:rsidRDefault="00BF3051" w:rsidP="00BF3051">
      <w:pPr>
        <w:rPr>
          <w:b/>
          <w:bCs/>
        </w:rPr>
      </w:pPr>
      <w:r w:rsidRPr="009F762E">
        <w:rPr>
          <w:b/>
          <w:bCs/>
        </w:rPr>
        <w:t xml:space="preserve">Receiver: </w:t>
      </w:r>
      <w:r w:rsidR="00651A50">
        <w:rPr>
          <w:b/>
          <w:bCs/>
        </w:rPr>
        <w:t>LeanIX</w:t>
      </w:r>
    </w:p>
    <w:p w14:paraId="60AE9484" w14:textId="77777777" w:rsidR="0006716F" w:rsidRPr="009F762E" w:rsidRDefault="0006716F" w:rsidP="00BF3051">
      <w:pPr>
        <w:rPr>
          <w:b/>
          <w:bCs/>
        </w:rPr>
      </w:pPr>
    </w:p>
    <w:tbl>
      <w:tblPr>
        <w:tblStyle w:val="Tabellenraster"/>
        <w:tblW w:w="0" w:type="auto"/>
        <w:tblLook w:val="04A0" w:firstRow="1" w:lastRow="0" w:firstColumn="1" w:lastColumn="0" w:noHBand="0" w:noVBand="1"/>
      </w:tblPr>
      <w:tblGrid>
        <w:gridCol w:w="1701"/>
        <w:gridCol w:w="7655"/>
      </w:tblGrid>
      <w:tr w:rsidR="0006716F" w14:paraId="70BCF3E9" w14:textId="77777777" w:rsidTr="005C52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72FB7AD" w14:textId="77777777" w:rsidR="0006716F" w:rsidRDefault="0006716F" w:rsidP="005C5207">
            <w:pPr>
              <w:rPr>
                <w:b w:val="0"/>
                <w:bCs/>
              </w:rPr>
            </w:pPr>
            <w:r>
              <w:rPr>
                <w:b w:val="0"/>
                <w:bCs/>
              </w:rPr>
              <w:t>User Role</w:t>
            </w:r>
          </w:p>
        </w:tc>
        <w:tc>
          <w:tcPr>
            <w:tcW w:w="7655" w:type="dxa"/>
          </w:tcPr>
          <w:p w14:paraId="5CA63E9D" w14:textId="1280F639" w:rsidR="0006716F" w:rsidRDefault="0006716F" w:rsidP="005C5207">
            <w:pPr>
              <w:cnfStyle w:val="100000000000" w:firstRow="1" w:lastRow="0" w:firstColumn="0" w:lastColumn="0" w:oddVBand="0" w:evenVBand="0" w:oddHBand="0" w:evenHBand="0" w:firstRowFirstColumn="0" w:firstRowLastColumn="0" w:lastRowFirstColumn="0" w:lastRowLastColumn="0"/>
              <w:rPr>
                <w:b w:val="0"/>
                <w:bCs/>
              </w:rPr>
            </w:pPr>
            <w:r w:rsidRPr="00D64E1E">
              <w:rPr>
                <w:b w:val="0"/>
                <w:bCs/>
              </w:rPr>
              <w:t>The necessary user role for invocation with Basic Auth is by default "</w:t>
            </w:r>
            <w:r w:rsidRPr="001A2B1C">
              <w:t>ESBMessaging.send</w:t>
            </w:r>
            <w:r w:rsidRPr="00D64E1E">
              <w:rPr>
                <w:b w:val="0"/>
                <w:bCs/>
              </w:rPr>
              <w:t>". However, since this role often has access to multiple flows in the Integration Suite, for security reasons, it is advisable to create a unique user role and assign it to the iFlow. In LeanIX, the Basic Auth user could be read out and used for the invocation of additional iFlows</w:t>
            </w:r>
            <w:r w:rsidR="00D23627">
              <w:rPr>
                <w:b w:val="0"/>
                <w:bCs/>
              </w:rPr>
              <w:t>.</w:t>
            </w:r>
            <w:r w:rsidR="00D23627">
              <w:rPr>
                <w:b w:val="0"/>
                <w:bCs/>
              </w:rPr>
              <w:br/>
            </w:r>
            <w:r w:rsidR="00D23627">
              <w:rPr>
                <w:b w:val="0"/>
                <w:bCs/>
              </w:rPr>
              <w:br/>
            </w:r>
            <w:r w:rsidR="00D23627" w:rsidRPr="00D23627">
              <w:rPr>
                <w:b w:val="0"/>
              </w:rPr>
              <w:t>For more information regarding setup and other details, please refer to the documentation at</w:t>
            </w:r>
            <w:r w:rsidR="00D23627">
              <w:rPr>
                <w:bCs/>
              </w:rPr>
              <w:t xml:space="preserve"> </w:t>
            </w:r>
            <w:hyperlink r:id="rId25" w:history="1">
              <w:r w:rsidR="00D23627">
                <w:rPr>
                  <w:rStyle w:val="Hyperlink"/>
                  <w:b w:val="0"/>
                  <w:bCs/>
                </w:rPr>
                <w:t>SAP HELP</w:t>
              </w:r>
            </w:hyperlink>
          </w:p>
        </w:tc>
      </w:tr>
      <w:tr w:rsidR="0006716F" w14:paraId="78C34DC6" w14:textId="77777777" w:rsidTr="005C5207">
        <w:tc>
          <w:tcPr>
            <w:cnfStyle w:val="001000000000" w:firstRow="0" w:lastRow="0" w:firstColumn="1" w:lastColumn="0" w:oddVBand="0" w:evenVBand="0" w:oddHBand="0" w:evenHBand="0" w:firstRowFirstColumn="0" w:firstRowLastColumn="0" w:lastRowFirstColumn="0" w:lastRowLastColumn="0"/>
            <w:tcW w:w="1701" w:type="dxa"/>
          </w:tcPr>
          <w:p w14:paraId="1BE61A8C" w14:textId="77777777" w:rsidR="0006716F" w:rsidRDefault="0006716F" w:rsidP="005C5207">
            <w:pPr>
              <w:rPr>
                <w:b w:val="0"/>
                <w:bCs/>
              </w:rPr>
            </w:pPr>
            <w:r>
              <w:rPr>
                <w:b w:val="0"/>
                <w:bCs/>
              </w:rPr>
              <w:t>Address</w:t>
            </w:r>
          </w:p>
        </w:tc>
        <w:tc>
          <w:tcPr>
            <w:tcW w:w="7655" w:type="dxa"/>
          </w:tcPr>
          <w:p w14:paraId="65952BB9" w14:textId="77777777" w:rsidR="0006716F" w:rsidRDefault="0006716F" w:rsidP="005C5207">
            <w:pPr>
              <w:spacing w:after="160" w:line="259" w:lineRule="auto"/>
              <w:cnfStyle w:val="000000000000" w:firstRow="0" w:lastRow="0" w:firstColumn="0" w:lastColumn="0" w:oddVBand="0" w:evenVBand="0" w:oddHBand="0" w:evenHBand="0" w:firstRowFirstColumn="0" w:firstRowLastColumn="0" w:lastRowFirstColumn="0" w:lastRowLastColumn="0"/>
            </w:pPr>
            <w:r w:rsidRPr="00621BE1">
              <w:t xml:space="preserve">Enter the </w:t>
            </w:r>
            <w:r>
              <w:t>SAP LeanIX</w:t>
            </w:r>
            <w:r w:rsidRPr="00621BE1">
              <w:t xml:space="preserve"> API URL. The address should follow this pattern:</w:t>
            </w:r>
            <w:r>
              <w:t xml:space="preserve"> </w:t>
            </w:r>
          </w:p>
          <w:p w14:paraId="26BB4142" w14:textId="6C679025" w:rsidR="0006716F" w:rsidRPr="00A11585" w:rsidRDefault="0006716F" w:rsidP="005C5207">
            <w:pPr>
              <w:spacing w:after="160" w:line="259" w:lineRule="auto"/>
              <w:cnfStyle w:val="000000000000" w:firstRow="0" w:lastRow="0" w:firstColumn="0" w:lastColumn="0" w:oddVBand="0" w:evenVBand="0" w:oddHBand="0" w:evenHBand="0" w:firstRowFirstColumn="0" w:firstRowLastColumn="0" w:lastRowFirstColumn="0" w:lastRowLastColumn="0"/>
            </w:pPr>
            <w:r w:rsidRPr="00621BE1">
              <w:t>https://&lt;customerdomain&gt;.</w:t>
            </w:r>
            <w:r>
              <w:t>lean</w:t>
            </w:r>
            <w:r w:rsidR="00DF3BF7">
              <w:t>ix</w:t>
            </w:r>
            <w:r w:rsidRPr="00621BE1">
              <w:t>.net/services/pathfinder/v1/graphql</w:t>
            </w:r>
          </w:p>
        </w:tc>
      </w:tr>
      <w:tr w:rsidR="0006716F" w14:paraId="3955C67A" w14:textId="77777777" w:rsidTr="005C5207">
        <w:tc>
          <w:tcPr>
            <w:cnfStyle w:val="001000000000" w:firstRow="0" w:lastRow="0" w:firstColumn="1" w:lastColumn="0" w:oddVBand="0" w:evenVBand="0" w:oddHBand="0" w:evenHBand="0" w:firstRowFirstColumn="0" w:firstRowLastColumn="0" w:lastRowFirstColumn="0" w:lastRowLastColumn="0"/>
            <w:tcW w:w="1701" w:type="dxa"/>
          </w:tcPr>
          <w:p w14:paraId="778BAC19" w14:textId="77777777" w:rsidR="0006716F" w:rsidRDefault="0006716F" w:rsidP="005C5207">
            <w:pPr>
              <w:rPr>
                <w:b w:val="0"/>
                <w:bCs/>
              </w:rPr>
            </w:pPr>
            <w:r>
              <w:rPr>
                <w:b w:val="0"/>
                <w:bCs/>
              </w:rPr>
              <w:t>Credential Name</w:t>
            </w:r>
          </w:p>
        </w:tc>
        <w:tc>
          <w:tcPr>
            <w:tcW w:w="7655" w:type="dxa"/>
          </w:tcPr>
          <w:p w14:paraId="44562EFF" w14:textId="77777777" w:rsidR="0006716F" w:rsidRDefault="0006716F" w:rsidP="005C5207">
            <w:pPr>
              <w:cnfStyle w:val="000000000000" w:firstRow="0" w:lastRow="0" w:firstColumn="0" w:lastColumn="0" w:oddVBand="0" w:evenVBand="0" w:oddHBand="0" w:evenHBand="0" w:firstRowFirstColumn="0" w:firstRowLastColumn="0" w:lastRowFirstColumn="0" w:lastRowLastColumn="0"/>
              <w:rPr>
                <w:b/>
                <w:bCs/>
              </w:rPr>
            </w:pPr>
            <w:r w:rsidRPr="00621BE1">
              <w:t xml:space="preserve">Enter the </w:t>
            </w:r>
            <w:r>
              <w:t xml:space="preserve">credential </w:t>
            </w:r>
            <w:r w:rsidRPr="00621BE1">
              <w:t xml:space="preserve">name of a </w:t>
            </w:r>
            <w:r>
              <w:t>SAP LeanIX</w:t>
            </w:r>
            <w:r w:rsidRPr="00621BE1">
              <w:t xml:space="preserve"> API user (OAuth2). To set this up, please create OAuth2 client credentials (refer</w:t>
            </w:r>
            <w:r>
              <w:t xml:space="preserve"> to</w:t>
            </w:r>
            <w:r w:rsidRPr="00621BE1">
              <w:t xml:space="preserve"> </w:t>
            </w:r>
            <w:hyperlink r:id="rId26" w:history="1">
              <w:r>
                <w:rPr>
                  <w:rStyle w:val="Hyperlink"/>
                </w:rPr>
                <w:t>SAP LeanIX</w:t>
              </w:r>
              <w:r w:rsidRPr="0005466B">
                <w:rPr>
                  <w:rStyle w:val="Hyperlink"/>
                </w:rPr>
                <w:t xml:space="preserve"> Developer Docs</w:t>
              </w:r>
            </w:hyperlink>
            <w:r w:rsidRPr="00621BE1">
              <w:t>) and add these credentials as security material (OAuth2 Credentials) in the SAP Integration Suite. Then, enter the created credentials.</w:t>
            </w:r>
          </w:p>
        </w:tc>
      </w:tr>
    </w:tbl>
    <w:p w14:paraId="75278056" w14:textId="77777777" w:rsidR="0006716F" w:rsidRDefault="0006716F" w:rsidP="00BF3051">
      <w:pPr>
        <w:rPr>
          <w:b/>
          <w:bCs/>
        </w:rPr>
      </w:pPr>
    </w:p>
    <w:p w14:paraId="40C9F95F" w14:textId="4A9C9C5D" w:rsidR="00BF3051" w:rsidRDefault="00BF3051" w:rsidP="00BF3051">
      <w:pPr>
        <w:rPr>
          <w:b/>
          <w:bCs/>
        </w:rPr>
      </w:pPr>
      <w:r w:rsidRPr="009F762E">
        <w:rPr>
          <w:b/>
          <w:bCs/>
        </w:rPr>
        <w:t>Receiver: SAP_Assessment</w:t>
      </w:r>
      <w:r>
        <w:rPr>
          <w:b/>
          <w:bCs/>
        </w:rPr>
        <w:t>_application_instances</w:t>
      </w:r>
    </w:p>
    <w:p w14:paraId="60248A48" w14:textId="77777777" w:rsidR="0006716F" w:rsidRDefault="0006716F" w:rsidP="0006716F">
      <w:pPr>
        <w:rPr>
          <w:b/>
          <w:bCs/>
        </w:rPr>
      </w:pPr>
    </w:p>
    <w:tbl>
      <w:tblPr>
        <w:tblStyle w:val="Tabellenraster"/>
        <w:tblW w:w="0" w:type="auto"/>
        <w:tblLook w:val="04A0" w:firstRow="1" w:lastRow="0" w:firstColumn="1" w:lastColumn="0" w:noHBand="0" w:noVBand="1"/>
      </w:tblPr>
      <w:tblGrid>
        <w:gridCol w:w="1701"/>
        <w:gridCol w:w="7937"/>
      </w:tblGrid>
      <w:tr w:rsidR="0006716F" w14:paraId="10010AE1" w14:textId="77777777" w:rsidTr="005C52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4D9CFBC" w14:textId="77777777" w:rsidR="0006716F" w:rsidRPr="00EC3324" w:rsidRDefault="0006716F" w:rsidP="005C5207">
            <w:pPr>
              <w:rPr>
                <w:b w:val="0"/>
              </w:rPr>
            </w:pPr>
            <w:r w:rsidRPr="00EC3324">
              <w:rPr>
                <w:b w:val="0"/>
              </w:rPr>
              <w:t>Address</w:t>
            </w:r>
          </w:p>
        </w:tc>
        <w:tc>
          <w:tcPr>
            <w:tcW w:w="7937" w:type="dxa"/>
          </w:tcPr>
          <w:p w14:paraId="6303487F" w14:textId="384EB7B6" w:rsidR="0006716F" w:rsidRPr="00EC3324" w:rsidRDefault="0006716F" w:rsidP="005C5207">
            <w:pPr>
              <w:spacing w:after="160" w:line="259" w:lineRule="auto"/>
              <w:cnfStyle w:val="100000000000" w:firstRow="1" w:lastRow="0" w:firstColumn="0" w:lastColumn="0" w:oddVBand="0" w:evenVBand="0" w:oddHBand="0" w:evenHBand="0" w:firstRowFirstColumn="0" w:firstRowLastColumn="0" w:lastRowFirstColumn="0" w:lastRowLastColumn="0"/>
              <w:rPr>
                <w:bCs/>
              </w:rPr>
            </w:pPr>
            <w:r w:rsidRPr="00EC3324">
              <w:rPr>
                <w:b w:val="0"/>
                <w:bCs/>
              </w:rPr>
              <w:t>Use the Integration Assessment Vendor URL, following this pattern:</w:t>
            </w:r>
            <w:r>
              <w:rPr>
                <w:bCs/>
              </w:rPr>
              <w:br/>
            </w:r>
            <w:r w:rsidRPr="00EC3324">
              <w:rPr>
                <w:b w:val="0"/>
                <w:bCs/>
              </w:rPr>
              <w:br/>
              <w:t>https://&lt;customerdomain&gt;.hana.ondemand.com/intas/entities/v1/</w:t>
            </w:r>
            <w:r w:rsidRPr="00ED2EFC">
              <w:rPr>
                <w:bCs/>
              </w:rPr>
              <w:t>ApplicationInstance</w:t>
            </w:r>
          </w:p>
        </w:tc>
      </w:tr>
      <w:tr w:rsidR="0006716F" w14:paraId="0E9F7FEB" w14:textId="77777777" w:rsidTr="005C5207">
        <w:tc>
          <w:tcPr>
            <w:cnfStyle w:val="001000000000" w:firstRow="0" w:lastRow="0" w:firstColumn="1" w:lastColumn="0" w:oddVBand="0" w:evenVBand="0" w:oddHBand="0" w:evenHBand="0" w:firstRowFirstColumn="0" w:firstRowLastColumn="0" w:lastRowFirstColumn="0" w:lastRowLastColumn="0"/>
            <w:tcW w:w="1701" w:type="dxa"/>
          </w:tcPr>
          <w:p w14:paraId="130B0BF1" w14:textId="77777777" w:rsidR="0006716F" w:rsidRDefault="0006716F" w:rsidP="005C5207">
            <w:pPr>
              <w:rPr>
                <w:b w:val="0"/>
                <w:bCs/>
              </w:rPr>
            </w:pPr>
            <w:r>
              <w:rPr>
                <w:b w:val="0"/>
                <w:bCs/>
              </w:rPr>
              <w:t>Credential Name</w:t>
            </w:r>
          </w:p>
        </w:tc>
        <w:tc>
          <w:tcPr>
            <w:tcW w:w="7937" w:type="dxa"/>
          </w:tcPr>
          <w:p w14:paraId="29D5EADA" w14:textId="77777777" w:rsidR="0006716F" w:rsidRDefault="0006716F" w:rsidP="005C5207">
            <w:pPr>
              <w:cnfStyle w:val="000000000000" w:firstRow="0" w:lastRow="0" w:firstColumn="0" w:lastColumn="0" w:oddVBand="0" w:evenVBand="0" w:oddHBand="0" w:evenHBand="0" w:firstRowFirstColumn="0" w:firstRowLastColumn="0" w:lastRowFirstColumn="0" w:lastRowLastColumn="0"/>
              <w:rPr>
                <w:b/>
                <w:bCs/>
              </w:rPr>
            </w:pPr>
            <w:r w:rsidRPr="003C2183">
              <w:t xml:space="preserve">Use your </w:t>
            </w:r>
            <w:r>
              <w:t>Integration Assessment</w:t>
            </w:r>
            <w:r w:rsidRPr="003C2183">
              <w:t xml:space="preserve"> </w:t>
            </w:r>
            <w:r>
              <w:t>Credentials</w:t>
            </w:r>
            <w:r w:rsidRPr="003C2183">
              <w:t xml:space="preserve"> (OAuth2). To set this up, create OAuth2 client credentials (see </w:t>
            </w:r>
            <w:hyperlink r:id="rId27" w:history="1">
              <w:r w:rsidRPr="00141443">
                <w:rPr>
                  <w:rStyle w:val="Hyperlink"/>
                </w:rPr>
                <w:t>SAP HELP</w:t>
              </w:r>
            </w:hyperlink>
            <w:r w:rsidRPr="003C2183">
              <w:t>) and add these credentials as security material (OAuth2 Credentials) in the SAP Integration Suite. Then, enter the created credentials</w:t>
            </w:r>
            <w:r>
              <w:t>.</w:t>
            </w:r>
          </w:p>
        </w:tc>
      </w:tr>
    </w:tbl>
    <w:p w14:paraId="5477552D" w14:textId="77777777" w:rsidR="0006716F" w:rsidRPr="009F762E" w:rsidRDefault="0006716F" w:rsidP="00BF3051">
      <w:pPr>
        <w:rPr>
          <w:b/>
          <w:bCs/>
        </w:rPr>
      </w:pPr>
    </w:p>
    <w:p w14:paraId="06FE7572" w14:textId="77777777" w:rsidR="00B64DD4" w:rsidRDefault="00BF3051" w:rsidP="00B64DD4">
      <w:pPr>
        <w:rPr>
          <w:b/>
          <w:bCs/>
        </w:rPr>
      </w:pPr>
      <w:r w:rsidRPr="009F762E">
        <w:rPr>
          <w:b/>
          <w:bCs/>
        </w:rPr>
        <w:t>Receiver: SAP_Assessment</w:t>
      </w:r>
      <w:r>
        <w:rPr>
          <w:b/>
          <w:bCs/>
        </w:rPr>
        <w:t>_deployment_model</w:t>
      </w:r>
    </w:p>
    <w:p w14:paraId="1ECDAAA7" w14:textId="77777777" w:rsidR="00B64DD4" w:rsidRDefault="00B64DD4" w:rsidP="00B64DD4">
      <w:pPr>
        <w:rPr>
          <w:b/>
          <w:bCs/>
        </w:rPr>
      </w:pPr>
    </w:p>
    <w:tbl>
      <w:tblPr>
        <w:tblStyle w:val="Tabellenraster"/>
        <w:tblW w:w="0" w:type="auto"/>
        <w:tblLook w:val="04A0" w:firstRow="1" w:lastRow="0" w:firstColumn="1" w:lastColumn="0" w:noHBand="0" w:noVBand="1"/>
      </w:tblPr>
      <w:tblGrid>
        <w:gridCol w:w="1701"/>
        <w:gridCol w:w="7937"/>
      </w:tblGrid>
      <w:tr w:rsidR="00B64DD4" w14:paraId="1DBE06B4" w14:textId="77777777" w:rsidTr="005C52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AEC4CCF" w14:textId="77777777" w:rsidR="00B64DD4" w:rsidRPr="00EC3324" w:rsidRDefault="00B64DD4" w:rsidP="005C5207">
            <w:pPr>
              <w:rPr>
                <w:b w:val="0"/>
              </w:rPr>
            </w:pPr>
            <w:r w:rsidRPr="00EC3324">
              <w:rPr>
                <w:b w:val="0"/>
              </w:rPr>
              <w:t>Address</w:t>
            </w:r>
          </w:p>
        </w:tc>
        <w:tc>
          <w:tcPr>
            <w:tcW w:w="7937" w:type="dxa"/>
          </w:tcPr>
          <w:p w14:paraId="064B9C76" w14:textId="15544842" w:rsidR="00B64DD4" w:rsidRPr="00EC3324" w:rsidRDefault="00B64DD4" w:rsidP="005C5207">
            <w:pPr>
              <w:spacing w:after="160" w:line="259" w:lineRule="auto"/>
              <w:cnfStyle w:val="100000000000" w:firstRow="1" w:lastRow="0" w:firstColumn="0" w:lastColumn="0" w:oddVBand="0" w:evenVBand="0" w:oddHBand="0" w:evenHBand="0" w:firstRowFirstColumn="0" w:firstRowLastColumn="0" w:lastRowFirstColumn="0" w:lastRowLastColumn="0"/>
              <w:rPr>
                <w:bCs/>
              </w:rPr>
            </w:pPr>
            <w:r w:rsidRPr="00EC3324">
              <w:rPr>
                <w:b w:val="0"/>
                <w:bCs/>
              </w:rPr>
              <w:t>Use the Integration Assessment Vendor URL, following this pattern:</w:t>
            </w:r>
            <w:r>
              <w:rPr>
                <w:bCs/>
              </w:rPr>
              <w:br/>
            </w:r>
            <w:r w:rsidRPr="00EC3324">
              <w:rPr>
                <w:b w:val="0"/>
                <w:bCs/>
              </w:rPr>
              <w:br/>
              <w:t>https://&lt;customerdomain&gt;.hana.ondemand.com/intas/entities/v1/</w:t>
            </w:r>
            <w:r w:rsidRPr="00ED2EFC">
              <w:rPr>
                <w:bCs/>
              </w:rPr>
              <w:t>DeploymentModel</w:t>
            </w:r>
          </w:p>
        </w:tc>
      </w:tr>
      <w:tr w:rsidR="00B64DD4" w14:paraId="08384EA4" w14:textId="77777777" w:rsidTr="005C5207">
        <w:tc>
          <w:tcPr>
            <w:cnfStyle w:val="001000000000" w:firstRow="0" w:lastRow="0" w:firstColumn="1" w:lastColumn="0" w:oddVBand="0" w:evenVBand="0" w:oddHBand="0" w:evenHBand="0" w:firstRowFirstColumn="0" w:firstRowLastColumn="0" w:lastRowFirstColumn="0" w:lastRowLastColumn="0"/>
            <w:tcW w:w="1701" w:type="dxa"/>
          </w:tcPr>
          <w:p w14:paraId="1E13E4D6" w14:textId="77777777" w:rsidR="00B64DD4" w:rsidRDefault="00B64DD4" w:rsidP="005C5207">
            <w:pPr>
              <w:rPr>
                <w:b w:val="0"/>
                <w:bCs/>
              </w:rPr>
            </w:pPr>
            <w:r>
              <w:rPr>
                <w:b w:val="0"/>
                <w:bCs/>
              </w:rPr>
              <w:t>Credential Name</w:t>
            </w:r>
          </w:p>
        </w:tc>
        <w:tc>
          <w:tcPr>
            <w:tcW w:w="7937" w:type="dxa"/>
          </w:tcPr>
          <w:p w14:paraId="7C3E971E" w14:textId="77777777" w:rsidR="00B64DD4" w:rsidRDefault="00B64DD4" w:rsidP="005C5207">
            <w:pPr>
              <w:cnfStyle w:val="000000000000" w:firstRow="0" w:lastRow="0" w:firstColumn="0" w:lastColumn="0" w:oddVBand="0" w:evenVBand="0" w:oddHBand="0" w:evenHBand="0" w:firstRowFirstColumn="0" w:firstRowLastColumn="0" w:lastRowFirstColumn="0" w:lastRowLastColumn="0"/>
              <w:rPr>
                <w:b/>
                <w:bCs/>
              </w:rPr>
            </w:pPr>
            <w:r w:rsidRPr="003C2183">
              <w:t xml:space="preserve">Use your </w:t>
            </w:r>
            <w:r>
              <w:t>Integration Assessment</w:t>
            </w:r>
            <w:r w:rsidRPr="003C2183">
              <w:t xml:space="preserve"> </w:t>
            </w:r>
            <w:r>
              <w:t>Credentials</w:t>
            </w:r>
            <w:r w:rsidRPr="003C2183">
              <w:t xml:space="preserve"> (OAuth2). To set this up, create OAuth2 client credentials (see </w:t>
            </w:r>
            <w:hyperlink r:id="rId28" w:history="1">
              <w:r w:rsidRPr="00141443">
                <w:rPr>
                  <w:rStyle w:val="Hyperlink"/>
                </w:rPr>
                <w:t>SAP HELP</w:t>
              </w:r>
            </w:hyperlink>
            <w:r w:rsidRPr="003C2183">
              <w:t>) and add these credentials as security material (OAuth2 Credentials) in the SAP Integration Suite. Then, enter the created credentials</w:t>
            </w:r>
            <w:r>
              <w:t>.</w:t>
            </w:r>
          </w:p>
        </w:tc>
      </w:tr>
    </w:tbl>
    <w:p w14:paraId="49CF4A09" w14:textId="58A637A6" w:rsidR="00B64DD4" w:rsidRDefault="00B64DD4" w:rsidP="00BF3051">
      <w:pPr>
        <w:rPr>
          <w:b/>
          <w:bCs/>
        </w:rPr>
      </w:pPr>
    </w:p>
    <w:p w14:paraId="7BB1B8A9" w14:textId="77777777" w:rsidR="00B64DD4" w:rsidRDefault="00B64DD4">
      <w:pPr>
        <w:spacing w:line="240" w:lineRule="auto"/>
        <w:rPr>
          <w:b/>
          <w:bCs/>
        </w:rPr>
      </w:pPr>
      <w:r>
        <w:rPr>
          <w:b/>
          <w:bCs/>
        </w:rPr>
        <w:br w:type="page"/>
      </w:r>
    </w:p>
    <w:p w14:paraId="3EB3C6C8" w14:textId="77777777" w:rsidR="00BF3051" w:rsidRDefault="00BF3051" w:rsidP="00BF3051">
      <w:pPr>
        <w:rPr>
          <w:b/>
          <w:bCs/>
        </w:rPr>
      </w:pPr>
      <w:r w:rsidRPr="009F762E">
        <w:rPr>
          <w:b/>
          <w:bCs/>
        </w:rPr>
        <w:lastRenderedPageBreak/>
        <w:t>Receiver: SAP_Assessment</w:t>
      </w:r>
      <w:r>
        <w:rPr>
          <w:b/>
          <w:bCs/>
        </w:rPr>
        <w:t>_application</w:t>
      </w:r>
    </w:p>
    <w:p w14:paraId="0C9003A1" w14:textId="77777777" w:rsidR="00B64DD4" w:rsidRDefault="00B64DD4" w:rsidP="00B64DD4">
      <w:pPr>
        <w:rPr>
          <w:b/>
          <w:bCs/>
        </w:rPr>
      </w:pPr>
    </w:p>
    <w:tbl>
      <w:tblPr>
        <w:tblStyle w:val="Tabellenraster"/>
        <w:tblW w:w="0" w:type="auto"/>
        <w:tblLook w:val="04A0" w:firstRow="1" w:lastRow="0" w:firstColumn="1" w:lastColumn="0" w:noHBand="0" w:noVBand="1"/>
      </w:tblPr>
      <w:tblGrid>
        <w:gridCol w:w="1701"/>
        <w:gridCol w:w="7937"/>
      </w:tblGrid>
      <w:tr w:rsidR="00B64DD4" w14:paraId="69847424" w14:textId="77777777" w:rsidTr="005C52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BE7DD08" w14:textId="77777777" w:rsidR="00B64DD4" w:rsidRPr="00EC3324" w:rsidRDefault="00B64DD4" w:rsidP="005C5207">
            <w:pPr>
              <w:rPr>
                <w:b w:val="0"/>
              </w:rPr>
            </w:pPr>
            <w:r w:rsidRPr="00EC3324">
              <w:rPr>
                <w:b w:val="0"/>
              </w:rPr>
              <w:t>Address</w:t>
            </w:r>
          </w:p>
        </w:tc>
        <w:tc>
          <w:tcPr>
            <w:tcW w:w="7937" w:type="dxa"/>
          </w:tcPr>
          <w:p w14:paraId="59172F75" w14:textId="2344FC46" w:rsidR="00B64DD4" w:rsidRPr="00EC3324" w:rsidRDefault="00B64DD4" w:rsidP="005C5207">
            <w:pPr>
              <w:spacing w:after="160" w:line="259" w:lineRule="auto"/>
              <w:cnfStyle w:val="100000000000" w:firstRow="1" w:lastRow="0" w:firstColumn="0" w:lastColumn="0" w:oddVBand="0" w:evenVBand="0" w:oddHBand="0" w:evenHBand="0" w:firstRowFirstColumn="0" w:firstRowLastColumn="0" w:lastRowFirstColumn="0" w:lastRowLastColumn="0"/>
              <w:rPr>
                <w:bCs/>
              </w:rPr>
            </w:pPr>
            <w:r w:rsidRPr="00EC3324">
              <w:rPr>
                <w:b w:val="0"/>
                <w:bCs/>
              </w:rPr>
              <w:t>Use the Integration Assessment Vendor URL, following this pattern:</w:t>
            </w:r>
            <w:r>
              <w:rPr>
                <w:bCs/>
              </w:rPr>
              <w:br/>
            </w:r>
            <w:r w:rsidRPr="00EC3324">
              <w:rPr>
                <w:b w:val="0"/>
                <w:bCs/>
              </w:rPr>
              <w:br/>
              <w:t>https://&lt;customerdomain&gt;.hana.ondemand.com/intas/entities/v1/</w:t>
            </w:r>
            <w:r>
              <w:rPr>
                <w:bCs/>
              </w:rPr>
              <w:t>Application</w:t>
            </w:r>
          </w:p>
        </w:tc>
      </w:tr>
      <w:tr w:rsidR="00B64DD4" w14:paraId="04334314" w14:textId="77777777" w:rsidTr="005C5207">
        <w:tc>
          <w:tcPr>
            <w:cnfStyle w:val="001000000000" w:firstRow="0" w:lastRow="0" w:firstColumn="1" w:lastColumn="0" w:oddVBand="0" w:evenVBand="0" w:oddHBand="0" w:evenHBand="0" w:firstRowFirstColumn="0" w:firstRowLastColumn="0" w:lastRowFirstColumn="0" w:lastRowLastColumn="0"/>
            <w:tcW w:w="1701" w:type="dxa"/>
          </w:tcPr>
          <w:p w14:paraId="196884B6" w14:textId="77777777" w:rsidR="00B64DD4" w:rsidRDefault="00B64DD4" w:rsidP="005C5207">
            <w:pPr>
              <w:rPr>
                <w:b w:val="0"/>
                <w:bCs/>
              </w:rPr>
            </w:pPr>
            <w:r>
              <w:rPr>
                <w:b w:val="0"/>
                <w:bCs/>
              </w:rPr>
              <w:t>Credential Name</w:t>
            </w:r>
          </w:p>
        </w:tc>
        <w:tc>
          <w:tcPr>
            <w:tcW w:w="7937" w:type="dxa"/>
          </w:tcPr>
          <w:p w14:paraId="59B808B7" w14:textId="77777777" w:rsidR="00B64DD4" w:rsidRDefault="00B64DD4" w:rsidP="005C5207">
            <w:pPr>
              <w:cnfStyle w:val="000000000000" w:firstRow="0" w:lastRow="0" w:firstColumn="0" w:lastColumn="0" w:oddVBand="0" w:evenVBand="0" w:oddHBand="0" w:evenHBand="0" w:firstRowFirstColumn="0" w:firstRowLastColumn="0" w:lastRowFirstColumn="0" w:lastRowLastColumn="0"/>
              <w:rPr>
                <w:b/>
                <w:bCs/>
              </w:rPr>
            </w:pPr>
            <w:r w:rsidRPr="003C2183">
              <w:t xml:space="preserve">Use your </w:t>
            </w:r>
            <w:r>
              <w:t>Integration Assessment</w:t>
            </w:r>
            <w:r w:rsidRPr="003C2183">
              <w:t xml:space="preserve"> </w:t>
            </w:r>
            <w:r>
              <w:t>Credentials</w:t>
            </w:r>
            <w:r w:rsidRPr="003C2183">
              <w:t xml:space="preserve"> (OAuth2). To set this up, create OAuth2 client credentials (see </w:t>
            </w:r>
            <w:hyperlink r:id="rId29" w:history="1">
              <w:r w:rsidRPr="00141443">
                <w:rPr>
                  <w:rStyle w:val="Hyperlink"/>
                </w:rPr>
                <w:t>SAP HELP</w:t>
              </w:r>
            </w:hyperlink>
            <w:r w:rsidRPr="003C2183">
              <w:t>) and add these credentials as security material (OAuth2 Credentials) in the SAP Integration Suite. Then, enter the created credentials</w:t>
            </w:r>
            <w:r>
              <w:t>.</w:t>
            </w:r>
          </w:p>
        </w:tc>
      </w:tr>
    </w:tbl>
    <w:p w14:paraId="0962979C" w14:textId="77777777" w:rsidR="00B64DD4" w:rsidRPr="009F762E" w:rsidRDefault="00B64DD4" w:rsidP="00BF3051">
      <w:pPr>
        <w:rPr>
          <w:b/>
          <w:bCs/>
        </w:rPr>
      </w:pPr>
    </w:p>
    <w:p w14:paraId="552CFAEE" w14:textId="77777777" w:rsidR="00BF3051" w:rsidRDefault="00BF3051" w:rsidP="00BF3051">
      <w:pPr>
        <w:rPr>
          <w:b/>
          <w:bCs/>
        </w:rPr>
      </w:pPr>
      <w:r w:rsidRPr="00532061">
        <w:rPr>
          <w:b/>
          <w:bCs/>
        </w:rPr>
        <w:t>More: All Parameters</w:t>
      </w:r>
    </w:p>
    <w:p w14:paraId="51362E86" w14:textId="77777777" w:rsidR="005F2075" w:rsidRDefault="005F2075" w:rsidP="00BF3051">
      <w:pPr>
        <w:rPr>
          <w:b/>
          <w:bCs/>
        </w:rPr>
      </w:pPr>
    </w:p>
    <w:tbl>
      <w:tblPr>
        <w:tblStyle w:val="Tabellenraster"/>
        <w:tblW w:w="0" w:type="auto"/>
        <w:tblLook w:val="04A0" w:firstRow="1" w:lastRow="0" w:firstColumn="1" w:lastColumn="0" w:noHBand="0" w:noVBand="1"/>
      </w:tblPr>
      <w:tblGrid>
        <w:gridCol w:w="2316"/>
        <w:gridCol w:w="7322"/>
      </w:tblGrid>
      <w:tr w:rsidR="005F2075" w14:paraId="124A45DC" w14:textId="77777777" w:rsidTr="005F20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453F901" w14:textId="66AA4819" w:rsidR="005F2075" w:rsidRDefault="005F2075" w:rsidP="00BF3051">
            <w:pPr>
              <w:rPr>
                <w:b w:val="0"/>
                <w:bCs/>
              </w:rPr>
            </w:pPr>
            <w:r w:rsidRPr="005F2075">
              <w:rPr>
                <w:b w:val="0"/>
                <w:bCs/>
              </w:rPr>
              <w:t>syncApplicationInstance</w:t>
            </w:r>
          </w:p>
        </w:tc>
        <w:tc>
          <w:tcPr>
            <w:tcW w:w="7937" w:type="dxa"/>
          </w:tcPr>
          <w:p w14:paraId="74844B51" w14:textId="69DBF0BC" w:rsidR="005F2075" w:rsidRPr="005F2075" w:rsidRDefault="005F2075" w:rsidP="00BF3051">
            <w:pPr>
              <w:cnfStyle w:val="100000000000" w:firstRow="1" w:lastRow="0" w:firstColumn="0" w:lastColumn="0" w:oddVBand="0" w:evenVBand="0" w:oddHBand="0" w:evenHBand="0" w:firstRowFirstColumn="0" w:firstRowLastColumn="0" w:lastRowFirstColumn="0" w:lastRowLastColumn="0"/>
              <w:rPr>
                <w:b w:val="0"/>
                <w:bCs/>
              </w:rPr>
            </w:pPr>
            <w:r w:rsidRPr="005F2075">
              <w:rPr>
                <w:b w:val="0"/>
                <w:bCs/>
              </w:rPr>
              <w:t>If this is set to false, only applications will be synchronized, and application instances will be ignored. Application instances can be manually created in Integration Assessment after synchronization. To synchronize application instances, set this value to “true” (in lower-case). It distinguishes between “cloud” and “onPremise”. If there is no value for the deployment instance in SAP LeanIX, “onPremise” will be used as a fallback.</w:t>
            </w:r>
          </w:p>
        </w:tc>
      </w:tr>
    </w:tbl>
    <w:p w14:paraId="11D3B996" w14:textId="77777777" w:rsidR="005F2075" w:rsidRPr="00532061" w:rsidRDefault="005F2075" w:rsidP="00BF3051">
      <w:pPr>
        <w:rPr>
          <w:b/>
          <w:bCs/>
        </w:rPr>
      </w:pPr>
    </w:p>
    <w:p w14:paraId="4BD08705" w14:textId="77777777" w:rsidR="00BF3051" w:rsidRDefault="00BF3051" w:rsidP="00BF3051">
      <w:r w:rsidRPr="00BA5838">
        <w:t>Ensure the client credentials are functioning correctly before deploying the iFlow.</w:t>
      </w:r>
    </w:p>
    <w:p w14:paraId="78B07FE6" w14:textId="77777777" w:rsidR="005F2075" w:rsidRPr="00BA5838" w:rsidRDefault="005F2075" w:rsidP="00BF3051"/>
    <w:p w14:paraId="19D8B897" w14:textId="26AC253A" w:rsidR="00BF3051" w:rsidRDefault="00BF3051" w:rsidP="00BF3051">
      <w:r w:rsidRPr="00BA5838">
        <w:t xml:space="preserve">After successful deployment, it is necessary to add an event in </w:t>
      </w:r>
      <w:r w:rsidR="00651A50">
        <w:t>SAP LeanIX</w:t>
      </w:r>
      <w:r w:rsidRPr="00BA5838">
        <w:t>. This event will trigger whenever a fact sheet of the type ‘provider’ is created.</w:t>
      </w:r>
    </w:p>
    <w:p w14:paraId="484F2B96" w14:textId="77777777" w:rsidR="005F2075" w:rsidRPr="00BA5838" w:rsidRDefault="005F2075" w:rsidP="00BF3051"/>
    <w:p w14:paraId="2A2E304E" w14:textId="326F1D09" w:rsidR="00BF3051" w:rsidRDefault="00BF3051" w:rsidP="00BF3051">
      <w:pPr>
        <w:rPr>
          <w:b/>
          <w:bCs/>
        </w:rPr>
      </w:pPr>
      <w:r w:rsidRPr="00BA5838">
        <w:rPr>
          <w:b/>
          <w:bCs/>
        </w:rPr>
        <w:t xml:space="preserve">To set up the event in </w:t>
      </w:r>
      <w:r w:rsidR="00651A50">
        <w:rPr>
          <w:b/>
          <w:bCs/>
        </w:rPr>
        <w:t>SAP LeanIX</w:t>
      </w:r>
      <w:r w:rsidRPr="00BA5838">
        <w:rPr>
          <w:b/>
          <w:bCs/>
        </w:rPr>
        <w:t>:</w:t>
      </w:r>
    </w:p>
    <w:p w14:paraId="6B0CBA1A" w14:textId="77777777" w:rsidR="00A35E96" w:rsidRPr="00B86BDD" w:rsidRDefault="00A35E96" w:rsidP="00BF3051">
      <w:pPr>
        <w:rPr>
          <w:b/>
          <w:bCs/>
        </w:rPr>
      </w:pPr>
    </w:p>
    <w:p w14:paraId="48FFE3B2" w14:textId="4DC0435F" w:rsidR="00BF3051" w:rsidRPr="00BA5838" w:rsidRDefault="00BF3051" w:rsidP="00BF3051">
      <w:pPr>
        <w:pStyle w:val="Listenabsatz"/>
        <w:numPr>
          <w:ilvl w:val="0"/>
          <w:numId w:val="26"/>
        </w:numPr>
        <w:spacing w:after="160" w:line="259" w:lineRule="auto"/>
      </w:pPr>
      <w:r>
        <w:t>Go</w:t>
      </w:r>
      <w:r w:rsidRPr="00BA5838">
        <w:t xml:space="preserve"> to your </w:t>
      </w:r>
      <w:r w:rsidR="00651A50">
        <w:t>SAP LeanIX</w:t>
      </w:r>
      <w:r w:rsidRPr="00BA5838">
        <w:t xml:space="preserve"> instance and access the administration area. </w:t>
      </w:r>
      <w:r w:rsidRPr="000E7764">
        <w:rPr>
          <w:noProof/>
        </w:rPr>
        <w:drawing>
          <wp:inline distT="0" distB="0" distL="0" distR="0" wp14:anchorId="21A0B69E" wp14:editId="2D8A9B0C">
            <wp:extent cx="5760720" cy="251777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2517775"/>
                    </a:xfrm>
                    <a:prstGeom prst="rect">
                      <a:avLst/>
                    </a:prstGeom>
                  </pic:spPr>
                </pic:pic>
              </a:graphicData>
            </a:graphic>
          </wp:inline>
        </w:drawing>
      </w:r>
    </w:p>
    <w:p w14:paraId="1BCF08D2" w14:textId="77777777" w:rsidR="00BF3051" w:rsidRPr="00BA5838" w:rsidRDefault="00BF3051" w:rsidP="00BF3051">
      <w:pPr>
        <w:pStyle w:val="Listenabsatz"/>
        <w:numPr>
          <w:ilvl w:val="0"/>
          <w:numId w:val="26"/>
        </w:numPr>
        <w:spacing w:after="160" w:line="259" w:lineRule="auto"/>
      </w:pPr>
      <w:r w:rsidRPr="00BA5838">
        <w:t>Click on the last item on the left side, “webhooks”, and create a new webhook.</w:t>
      </w:r>
    </w:p>
    <w:p w14:paraId="70921C01" w14:textId="77777777" w:rsidR="00BF3051" w:rsidRDefault="00BF3051" w:rsidP="00BF3051">
      <w:pPr>
        <w:pStyle w:val="Listenabsatz"/>
        <w:numPr>
          <w:ilvl w:val="0"/>
          <w:numId w:val="26"/>
        </w:numPr>
        <w:spacing w:after="160" w:line="259" w:lineRule="auto"/>
      </w:pPr>
      <w:r w:rsidRPr="00BA5838">
        <w:t>Configure the webhook as follows:</w:t>
      </w:r>
      <w:r>
        <w:t xml:space="preserve"> </w:t>
      </w:r>
    </w:p>
    <w:tbl>
      <w:tblPr>
        <w:tblStyle w:val="Tabellenraster"/>
        <w:tblW w:w="9174" w:type="dxa"/>
        <w:tblLook w:val="04A0" w:firstRow="1" w:lastRow="0" w:firstColumn="1" w:lastColumn="0" w:noHBand="0" w:noVBand="1"/>
      </w:tblPr>
      <w:tblGrid>
        <w:gridCol w:w="4587"/>
        <w:gridCol w:w="4587"/>
      </w:tblGrid>
      <w:tr w:rsidR="00BF3051" w14:paraId="0DCF34BC" w14:textId="77777777" w:rsidTr="00AD1DD2">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587" w:type="dxa"/>
          </w:tcPr>
          <w:p w14:paraId="304949A7" w14:textId="77777777" w:rsidR="00BF3051" w:rsidRDefault="00BF3051" w:rsidP="00AD1DD2">
            <w:r>
              <w:t>Triggering Events</w:t>
            </w:r>
          </w:p>
        </w:tc>
        <w:tc>
          <w:tcPr>
            <w:tcW w:w="4587" w:type="dxa"/>
          </w:tcPr>
          <w:p w14:paraId="069B45BE" w14:textId="77777777" w:rsidR="00BF3051" w:rsidRDefault="00BF3051" w:rsidP="00AD1DD2">
            <w:pPr>
              <w:cnfStyle w:val="100000000000" w:firstRow="1" w:lastRow="0" w:firstColumn="0" w:lastColumn="0" w:oddVBand="0" w:evenVBand="0" w:oddHBand="0" w:evenHBand="0" w:firstRowFirstColumn="0" w:firstRowLastColumn="0" w:lastRowFirstColumn="0" w:lastRowLastColumn="0"/>
            </w:pPr>
            <w:r>
              <w:t>FACT_SHEET_CREATED</w:t>
            </w:r>
          </w:p>
        </w:tc>
      </w:tr>
      <w:tr w:rsidR="00BF3051" w14:paraId="31E4C761" w14:textId="77777777" w:rsidTr="00AD1DD2">
        <w:trPr>
          <w:trHeight w:val="327"/>
        </w:trPr>
        <w:tc>
          <w:tcPr>
            <w:cnfStyle w:val="001000000000" w:firstRow="0" w:lastRow="0" w:firstColumn="1" w:lastColumn="0" w:oddVBand="0" w:evenVBand="0" w:oddHBand="0" w:evenHBand="0" w:firstRowFirstColumn="0" w:firstRowLastColumn="0" w:lastRowFirstColumn="0" w:lastRowLastColumn="0"/>
            <w:tcW w:w="4587" w:type="dxa"/>
          </w:tcPr>
          <w:p w14:paraId="6126D84D" w14:textId="77777777" w:rsidR="00BF3051" w:rsidRDefault="00BF3051" w:rsidP="00AD1DD2">
            <w:r>
              <w:t>Managing User</w:t>
            </w:r>
          </w:p>
        </w:tc>
        <w:tc>
          <w:tcPr>
            <w:tcW w:w="4587" w:type="dxa"/>
          </w:tcPr>
          <w:p w14:paraId="2A44F12B" w14:textId="77777777" w:rsidR="00BF3051" w:rsidRDefault="00BF3051" w:rsidP="00AD1DD2">
            <w:pPr>
              <w:cnfStyle w:val="000000000000" w:firstRow="0" w:lastRow="0" w:firstColumn="0" w:lastColumn="0" w:oddVBand="0" w:evenVBand="0" w:oddHBand="0" w:evenHBand="0" w:firstRowFirstColumn="0" w:firstRowLastColumn="0" w:lastRowFirstColumn="0" w:lastRowLastColumn="0"/>
            </w:pPr>
            <w:r>
              <w:t>Current User</w:t>
            </w:r>
          </w:p>
        </w:tc>
      </w:tr>
      <w:tr w:rsidR="00BF3051" w14:paraId="1A0C37AD" w14:textId="77777777" w:rsidTr="00AD1DD2">
        <w:trPr>
          <w:trHeight w:val="342"/>
        </w:trPr>
        <w:tc>
          <w:tcPr>
            <w:cnfStyle w:val="001000000000" w:firstRow="0" w:lastRow="0" w:firstColumn="1" w:lastColumn="0" w:oddVBand="0" w:evenVBand="0" w:oddHBand="0" w:evenHBand="0" w:firstRowFirstColumn="0" w:firstRowLastColumn="0" w:lastRowFirstColumn="0" w:lastRowLastColumn="0"/>
            <w:tcW w:w="4587" w:type="dxa"/>
          </w:tcPr>
          <w:p w14:paraId="30C19607" w14:textId="77777777" w:rsidR="00BF3051" w:rsidRDefault="00BF3051" w:rsidP="00AD1DD2">
            <w:r>
              <w:t>Type</w:t>
            </w:r>
          </w:p>
        </w:tc>
        <w:tc>
          <w:tcPr>
            <w:tcW w:w="4587" w:type="dxa"/>
          </w:tcPr>
          <w:p w14:paraId="0DA55074" w14:textId="77777777" w:rsidR="00BF3051" w:rsidRDefault="00BF3051" w:rsidP="00AD1DD2">
            <w:pPr>
              <w:cnfStyle w:val="000000000000" w:firstRow="0" w:lastRow="0" w:firstColumn="0" w:lastColumn="0" w:oddVBand="0" w:evenVBand="0" w:oddHBand="0" w:evenHBand="0" w:firstRowFirstColumn="0" w:firstRowLastColumn="0" w:lastRowFirstColumn="0" w:lastRowLastColumn="0"/>
            </w:pPr>
            <w:r>
              <w:t>PUSH</w:t>
            </w:r>
          </w:p>
        </w:tc>
      </w:tr>
      <w:tr w:rsidR="00BF3051" w:rsidRPr="00111ADD" w14:paraId="59DEE88D" w14:textId="77777777" w:rsidTr="00AD1DD2">
        <w:trPr>
          <w:trHeight w:val="654"/>
        </w:trPr>
        <w:tc>
          <w:tcPr>
            <w:cnfStyle w:val="001000000000" w:firstRow="0" w:lastRow="0" w:firstColumn="1" w:lastColumn="0" w:oddVBand="0" w:evenVBand="0" w:oddHBand="0" w:evenHBand="0" w:firstRowFirstColumn="0" w:firstRowLastColumn="0" w:lastRowFirstColumn="0" w:lastRowLastColumn="0"/>
            <w:tcW w:w="4587" w:type="dxa"/>
          </w:tcPr>
          <w:p w14:paraId="61C0B0E7" w14:textId="77777777" w:rsidR="00BF3051" w:rsidRDefault="00BF3051" w:rsidP="00AD1DD2">
            <w:r>
              <w:lastRenderedPageBreak/>
              <w:t>Target URL (iFlow URL)</w:t>
            </w:r>
          </w:p>
        </w:tc>
        <w:tc>
          <w:tcPr>
            <w:tcW w:w="4587" w:type="dxa"/>
          </w:tcPr>
          <w:p w14:paraId="384F6B94" w14:textId="1778E026" w:rsidR="00BF3051" w:rsidRDefault="00BF3051" w:rsidP="00AD1DD2">
            <w:pPr>
              <w:cnfStyle w:val="000000000000" w:firstRow="0" w:lastRow="0" w:firstColumn="0" w:lastColumn="0" w:oddVBand="0" w:evenVBand="0" w:oddHBand="0" w:evenHBand="0" w:firstRowFirstColumn="0" w:firstRowLastColumn="0" w:lastRowFirstColumn="0" w:lastRowLastColumn="0"/>
            </w:pPr>
            <w:r>
              <w:t>&lt;your-</w:t>
            </w:r>
            <w:r w:rsidR="00597F6F">
              <w:t>SAP-</w:t>
            </w:r>
            <w:r>
              <w:t>Integration-Suite-instance&gt;</w:t>
            </w:r>
            <w:r w:rsidRPr="00C91957">
              <w:t>/http/integration-assessment/</w:t>
            </w:r>
            <w:r>
              <w:t>application</w:t>
            </w:r>
          </w:p>
        </w:tc>
      </w:tr>
      <w:tr w:rsidR="00BF3051" w:rsidRPr="00111ADD" w14:paraId="6731F9E6" w14:textId="77777777" w:rsidTr="00AD1DD2">
        <w:trPr>
          <w:trHeight w:val="669"/>
        </w:trPr>
        <w:tc>
          <w:tcPr>
            <w:cnfStyle w:val="001000000000" w:firstRow="0" w:lastRow="0" w:firstColumn="1" w:lastColumn="0" w:oddVBand="0" w:evenVBand="0" w:oddHBand="0" w:evenHBand="0" w:firstRowFirstColumn="0" w:firstRowLastColumn="0" w:lastRowFirstColumn="0" w:lastRowLastColumn="0"/>
            <w:tcW w:w="4587" w:type="dxa"/>
          </w:tcPr>
          <w:p w14:paraId="578C569E" w14:textId="77777777" w:rsidR="00BF3051" w:rsidRDefault="00BF3051" w:rsidP="00AD1DD2">
            <w:r>
              <w:t>Authorization</w:t>
            </w:r>
          </w:p>
        </w:tc>
        <w:tc>
          <w:tcPr>
            <w:tcW w:w="4587" w:type="dxa"/>
          </w:tcPr>
          <w:p w14:paraId="3DE3CCBB" w14:textId="34205D5C" w:rsidR="00BF3051" w:rsidRDefault="00BF3051" w:rsidP="00AD1DD2">
            <w:pPr>
              <w:cnfStyle w:val="000000000000" w:firstRow="0" w:lastRow="0" w:firstColumn="0" w:lastColumn="0" w:oddVBand="0" w:evenVBand="0" w:oddHBand="0" w:evenHBand="0" w:firstRowFirstColumn="0" w:firstRowLastColumn="0" w:lastRowFirstColumn="0" w:lastRowLastColumn="0"/>
            </w:pPr>
            <w:r>
              <w:t xml:space="preserve">&lt;Add basic auth user for your </w:t>
            </w:r>
            <w:r w:rsidR="00597F6F">
              <w:t>SAP I</w:t>
            </w:r>
            <w:r>
              <w:t xml:space="preserve">ntegration </w:t>
            </w:r>
            <w:r w:rsidR="00597F6F">
              <w:t>S</w:t>
            </w:r>
            <w:r>
              <w:t>uite, which is authorized to call iflows&gt;</w:t>
            </w:r>
          </w:p>
        </w:tc>
      </w:tr>
      <w:tr w:rsidR="00BF3051" w14:paraId="76B839E4" w14:textId="77777777" w:rsidTr="00AD1DD2">
        <w:trPr>
          <w:trHeight w:val="2010"/>
        </w:trPr>
        <w:tc>
          <w:tcPr>
            <w:cnfStyle w:val="001000000000" w:firstRow="0" w:lastRow="0" w:firstColumn="1" w:lastColumn="0" w:oddVBand="0" w:evenVBand="0" w:oddHBand="0" w:evenHBand="0" w:firstRowFirstColumn="0" w:firstRowLastColumn="0" w:lastRowFirstColumn="0" w:lastRowLastColumn="0"/>
            <w:tcW w:w="4587" w:type="dxa"/>
          </w:tcPr>
          <w:p w14:paraId="034CCFD7" w14:textId="77777777" w:rsidR="00BF3051" w:rsidRDefault="00BF3051" w:rsidP="00AD1DD2">
            <w:r>
              <w:t>Callback</w:t>
            </w:r>
          </w:p>
        </w:tc>
        <w:tc>
          <w:tcPr>
            <w:tcW w:w="4587" w:type="dxa"/>
          </w:tcPr>
          <w:p w14:paraId="34CE1212" w14:textId="77777777" w:rsidR="00BF3051" w:rsidRPr="00975912" w:rsidRDefault="00BF3051" w:rsidP="00AD1DD2">
            <w:pPr>
              <w:cnfStyle w:val="000000000000" w:firstRow="0" w:lastRow="0" w:firstColumn="0" w:lastColumn="0" w:oddVBand="0" w:evenVBand="0" w:oddHBand="0" w:evenHBand="0" w:firstRowFirstColumn="0" w:firstRowLastColumn="0" w:lastRowFirstColumn="0" w:lastRowLastColumn="0"/>
            </w:pPr>
            <w:r w:rsidRPr="00975912">
              <w:t>delivery.active = false;</w:t>
            </w:r>
          </w:p>
          <w:p w14:paraId="60980166" w14:textId="77777777" w:rsidR="00BF3051" w:rsidRPr="00975912" w:rsidRDefault="00BF3051" w:rsidP="00AD1DD2">
            <w:pPr>
              <w:cnfStyle w:val="000000000000" w:firstRow="0" w:lastRow="0" w:firstColumn="0" w:lastColumn="0" w:oddVBand="0" w:evenVBand="0" w:oddHBand="0" w:evenHBand="0" w:firstRowFirstColumn="0" w:firstRowLastColumn="0" w:lastRowFirstColumn="0" w:lastRowLastColumn="0"/>
            </w:pPr>
            <w:r w:rsidRPr="00975912">
              <w:t xml:space="preserve"> </w:t>
            </w:r>
          </w:p>
          <w:p w14:paraId="427A9420" w14:textId="77777777" w:rsidR="00BF3051" w:rsidRPr="00975912" w:rsidRDefault="00BF3051" w:rsidP="00AD1DD2">
            <w:pPr>
              <w:cnfStyle w:val="000000000000" w:firstRow="0" w:lastRow="0" w:firstColumn="0" w:lastColumn="0" w:oddVBand="0" w:evenVBand="0" w:oddHBand="0" w:evenHBand="0" w:firstRowFirstColumn="0" w:firstRowLastColumn="0" w:lastRowFirstColumn="0" w:lastRowLastColumn="0"/>
            </w:pPr>
            <w:r w:rsidRPr="00975912">
              <w:t>if (delivery.payload.factSheet.type == '</w:t>
            </w:r>
            <w:r>
              <w:t>Application</w:t>
            </w:r>
            <w:r w:rsidRPr="00975912">
              <w:t>' ) {</w:t>
            </w:r>
          </w:p>
          <w:p w14:paraId="739162F1" w14:textId="77777777" w:rsidR="00BF3051" w:rsidRPr="00975912" w:rsidRDefault="00BF3051" w:rsidP="00AD1DD2">
            <w:pPr>
              <w:cnfStyle w:val="000000000000" w:firstRow="0" w:lastRow="0" w:firstColumn="0" w:lastColumn="0" w:oddVBand="0" w:evenVBand="0" w:oddHBand="0" w:evenHBand="0" w:firstRowFirstColumn="0" w:firstRowLastColumn="0" w:lastRowFirstColumn="0" w:lastRowLastColumn="0"/>
            </w:pPr>
            <w:r w:rsidRPr="00975912">
              <w:t xml:space="preserve">  delivery.active = true;</w:t>
            </w:r>
          </w:p>
          <w:p w14:paraId="2B8DB728" w14:textId="77777777" w:rsidR="00BF3051" w:rsidRDefault="00BF3051" w:rsidP="00AD1DD2">
            <w:pPr>
              <w:cnfStyle w:val="000000000000" w:firstRow="0" w:lastRow="0" w:firstColumn="0" w:lastColumn="0" w:oddVBand="0" w:evenVBand="0" w:oddHBand="0" w:evenHBand="0" w:firstRowFirstColumn="0" w:firstRowLastColumn="0" w:lastRowFirstColumn="0" w:lastRowLastColumn="0"/>
            </w:pPr>
            <w:r w:rsidRPr="00975912">
              <w:t>}</w:t>
            </w:r>
          </w:p>
        </w:tc>
      </w:tr>
      <w:tr w:rsidR="00BF3051" w14:paraId="72E14F41" w14:textId="77777777" w:rsidTr="00AD1DD2">
        <w:trPr>
          <w:trHeight w:val="327"/>
        </w:trPr>
        <w:tc>
          <w:tcPr>
            <w:cnfStyle w:val="001000000000" w:firstRow="0" w:lastRow="0" w:firstColumn="1" w:lastColumn="0" w:oddVBand="0" w:evenVBand="0" w:oddHBand="0" w:evenHBand="0" w:firstRowFirstColumn="0" w:firstRowLastColumn="0" w:lastRowFirstColumn="0" w:lastRowLastColumn="0"/>
            <w:tcW w:w="4587" w:type="dxa"/>
          </w:tcPr>
          <w:p w14:paraId="1491E128" w14:textId="77777777" w:rsidR="00BF3051" w:rsidRDefault="00BF3051" w:rsidP="00AD1DD2">
            <w:r>
              <w:t>Status</w:t>
            </w:r>
          </w:p>
        </w:tc>
        <w:tc>
          <w:tcPr>
            <w:tcW w:w="4587" w:type="dxa"/>
          </w:tcPr>
          <w:p w14:paraId="3B7782CA" w14:textId="77777777" w:rsidR="00BF3051" w:rsidRDefault="00BF3051" w:rsidP="00AD1DD2">
            <w:pPr>
              <w:cnfStyle w:val="000000000000" w:firstRow="0" w:lastRow="0" w:firstColumn="0" w:lastColumn="0" w:oddVBand="0" w:evenVBand="0" w:oddHBand="0" w:evenHBand="0" w:firstRowFirstColumn="0" w:firstRowLastColumn="0" w:lastRowFirstColumn="0" w:lastRowLastColumn="0"/>
            </w:pPr>
            <w:r>
              <w:t>active</w:t>
            </w:r>
          </w:p>
        </w:tc>
      </w:tr>
    </w:tbl>
    <w:p w14:paraId="48AA6294" w14:textId="77777777" w:rsidR="00BF3051" w:rsidRDefault="00BF3051" w:rsidP="00BF3051"/>
    <w:p w14:paraId="5E2657D2" w14:textId="05AAEE78" w:rsidR="00432C25" w:rsidRDefault="00BF3051" w:rsidP="00C42417">
      <w:r w:rsidRPr="00BA5838">
        <w:t xml:space="preserve">Once everything is set up correctly, a vendor should be automatically created in </w:t>
      </w:r>
      <w:r w:rsidR="00651A50">
        <w:t>Integration Assessment</w:t>
      </w:r>
      <w:r w:rsidRPr="00BA5838">
        <w:t xml:space="preserve"> whenever the specified event occurs in </w:t>
      </w:r>
      <w:r w:rsidR="00651A50">
        <w:t>SAP LeanIX</w:t>
      </w:r>
      <w:r w:rsidRPr="00BA5838">
        <w:t>.</w:t>
      </w:r>
    </w:p>
    <w:p w14:paraId="349F65A0" w14:textId="77777777" w:rsidR="00AE4C1A" w:rsidRDefault="00AE4C1A" w:rsidP="00C42417"/>
    <w:p w14:paraId="2927B45F" w14:textId="6FF67B00" w:rsidR="00D0109F" w:rsidRDefault="00AE4C1A" w:rsidP="00C42417">
      <w:pPr>
        <w:rPr>
          <w:i/>
          <w:iCs/>
        </w:rPr>
      </w:pPr>
      <w:r w:rsidRPr="00AE4C1A">
        <w:rPr>
          <w:i/>
          <w:iCs/>
        </w:rPr>
        <w:t>Please note that starting from version 1.1.0, the internal FactSheet ID of SAP LeanIX will also be stored in th</w:t>
      </w:r>
      <w:r>
        <w:rPr>
          <w:i/>
          <w:iCs/>
        </w:rPr>
        <w:t>e hidden</w:t>
      </w:r>
      <w:r w:rsidRPr="00AE4C1A">
        <w:rPr>
          <w:i/>
          <w:iCs/>
        </w:rPr>
        <w:t xml:space="preserve"> 'APIHubId' field within Integration Assessment. This ID will then be reused when creating a FactSheet in SAP LeanIX by using the Interface “Create SAP LeanIX Interface”, establishing a link between the application(s) and the interface.</w:t>
      </w:r>
    </w:p>
    <w:p w14:paraId="5DD9AE74" w14:textId="77777777" w:rsidR="00D0109F" w:rsidRDefault="00D0109F">
      <w:pPr>
        <w:spacing w:line="240" w:lineRule="auto"/>
        <w:rPr>
          <w:i/>
          <w:iCs/>
        </w:rPr>
      </w:pPr>
      <w:r>
        <w:rPr>
          <w:i/>
          <w:iCs/>
        </w:rPr>
        <w:br w:type="page"/>
      </w:r>
    </w:p>
    <w:p w14:paraId="5ACAD65A" w14:textId="1747AD2B" w:rsidR="00D0109F" w:rsidRPr="007A03B6" w:rsidRDefault="00A733C8" w:rsidP="00D0109F">
      <w:pPr>
        <w:pStyle w:val="berschrift2"/>
      </w:pPr>
      <w:bookmarkStart w:id="9" w:name="_Toc175042887"/>
      <w:r>
        <w:lastRenderedPageBreak/>
        <w:t>Create SAP LeanIX Interface</w:t>
      </w:r>
      <w:r w:rsidR="00377BE6">
        <w:t xml:space="preserve"> </w:t>
      </w:r>
      <w:r w:rsidR="00810172">
        <w:t>Fact</w:t>
      </w:r>
      <w:r w:rsidR="00377BE6">
        <w:t>Sheet</w:t>
      </w:r>
      <w:bookmarkEnd w:id="9"/>
    </w:p>
    <w:p w14:paraId="328E26F8" w14:textId="77777777" w:rsidR="00D0109F" w:rsidRDefault="00D0109F" w:rsidP="00D0109F"/>
    <w:p w14:paraId="3042FE3E" w14:textId="784E9A8C" w:rsidR="009E3CCB" w:rsidRDefault="00D81D0D" w:rsidP="00D81D0D">
      <w:r>
        <w:t xml:space="preserve">This integration synchronizes interface requests from Integration Assessment </w:t>
      </w:r>
      <w:r w:rsidR="00625EA7">
        <w:t>to</w:t>
      </w:r>
      <w:r>
        <w:t xml:space="preserve"> SAP LeanIX. Whenever an interface request is created in Integration Assessment, it will periodically (configurable) generate a </w:t>
      </w:r>
      <w:r w:rsidR="004F2BE2">
        <w:t>F</w:t>
      </w:r>
      <w:r>
        <w:t>act</w:t>
      </w:r>
      <w:r w:rsidR="004F2BE2">
        <w:t xml:space="preserve"> S</w:t>
      </w:r>
      <w:r>
        <w:t xml:space="preserve">heet of the 'integration' type in SAP LeanIX. </w:t>
      </w:r>
      <w:r>
        <w:br/>
        <w:t>The Source System (only one can be selected; if multiple are present, the integration will choose one) and Target System(s) (can be 1 or more) will also be referenced in SAP LeanIX, provided that the applications have been synced using the 'Fullsync Integration Assessment Applications' and/or 'Create Integration Assessment Application' integrations.</w:t>
      </w:r>
    </w:p>
    <w:p w14:paraId="6947151D" w14:textId="77777777" w:rsidR="00D81D0D" w:rsidRPr="00884967" w:rsidRDefault="00D81D0D" w:rsidP="00D81D0D"/>
    <w:p w14:paraId="636C928B" w14:textId="77777777" w:rsidR="00D0109F" w:rsidRDefault="00D0109F" w:rsidP="00D0109F">
      <w:r w:rsidRPr="00884967">
        <w:t>To initiate this integration, the following parameters must be configured in the iFlow:</w:t>
      </w:r>
    </w:p>
    <w:p w14:paraId="573EBC28" w14:textId="77777777" w:rsidR="00D0109F" w:rsidRDefault="00D0109F" w:rsidP="00D0109F">
      <w:pPr>
        <w:rPr>
          <w:b/>
          <w:bCs/>
        </w:rPr>
      </w:pPr>
    </w:p>
    <w:p w14:paraId="7985A029" w14:textId="4D107B3C" w:rsidR="009E3CCB" w:rsidRDefault="009C3E0A" w:rsidP="009E3CCB">
      <w:pPr>
        <w:rPr>
          <w:b/>
          <w:bCs/>
        </w:rPr>
      </w:pPr>
      <w:r>
        <w:rPr>
          <w:b/>
          <w:bCs/>
        </w:rPr>
        <w:t>Timer: Start Timer</w:t>
      </w:r>
      <w:r w:rsidR="00CD50CE">
        <w:rPr>
          <w:b/>
          <w:bCs/>
        </w:rPr>
        <w:t xml:space="preserve"> [StartEvent_4]</w:t>
      </w:r>
      <w:r w:rsidR="009E3CCB" w:rsidRPr="009F762E">
        <w:rPr>
          <w:b/>
          <w:bCs/>
        </w:rPr>
        <w:t xml:space="preserve"> </w:t>
      </w:r>
    </w:p>
    <w:p w14:paraId="165E4A1F" w14:textId="77777777" w:rsidR="009E3CCB" w:rsidRDefault="009E3CCB" w:rsidP="009E3CCB">
      <w:pPr>
        <w:rPr>
          <w:b/>
          <w:bCs/>
        </w:rPr>
      </w:pPr>
    </w:p>
    <w:tbl>
      <w:tblPr>
        <w:tblStyle w:val="Tabellenraster"/>
        <w:tblW w:w="0" w:type="auto"/>
        <w:tblLayout w:type="fixed"/>
        <w:tblLook w:val="04A0" w:firstRow="1" w:lastRow="0" w:firstColumn="1" w:lastColumn="0" w:noHBand="0" w:noVBand="1"/>
      </w:tblPr>
      <w:tblGrid>
        <w:gridCol w:w="1560"/>
        <w:gridCol w:w="8078"/>
      </w:tblGrid>
      <w:tr w:rsidR="009E3CCB" w14:paraId="1B68C53D" w14:textId="77777777" w:rsidTr="00803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A4E393D" w14:textId="61323FC1" w:rsidR="009E3CCB" w:rsidRDefault="00CD50CE" w:rsidP="00636A13">
            <w:pPr>
              <w:rPr>
                <w:b w:val="0"/>
                <w:bCs/>
              </w:rPr>
            </w:pPr>
            <w:r>
              <w:rPr>
                <w:b w:val="0"/>
                <w:bCs/>
              </w:rPr>
              <w:t>Schedule to Recur</w:t>
            </w:r>
          </w:p>
        </w:tc>
        <w:tc>
          <w:tcPr>
            <w:tcW w:w="8078" w:type="dxa"/>
          </w:tcPr>
          <w:p w14:paraId="0E29B410" w14:textId="1D4DF0D3" w:rsidR="009E3CCB" w:rsidRPr="00387177" w:rsidRDefault="00782DF5" w:rsidP="001C289A">
            <w:pPr>
              <w:pStyle w:val="Listenabsatz"/>
              <w:numPr>
                <w:ilvl w:val="0"/>
                <w:numId w:val="27"/>
              </w:numPr>
              <w:spacing w:after="160" w:line="259" w:lineRule="auto"/>
              <w:cnfStyle w:val="100000000000" w:firstRow="1" w:lastRow="0" w:firstColumn="0" w:lastColumn="0" w:oddVBand="0" w:evenVBand="0" w:oddHBand="0" w:evenHBand="0" w:firstRowFirstColumn="0" w:firstRowLastColumn="0" w:lastRowFirstColumn="0" w:lastRowLastColumn="0"/>
              <w:rPr>
                <w:b w:val="0"/>
                <w:bCs/>
              </w:rPr>
            </w:pPr>
            <w:r>
              <w:rPr>
                <w:b w:val="0"/>
                <w:bCs/>
              </w:rPr>
              <w:t>Set to ‘</w:t>
            </w:r>
            <w:r w:rsidR="001C289A" w:rsidRPr="00AF73DA">
              <w:t>Daily</w:t>
            </w:r>
            <w:r w:rsidRPr="00AF73DA">
              <w:t>’</w:t>
            </w:r>
          </w:p>
          <w:p w14:paraId="7FA96B4E" w14:textId="45D49DCA" w:rsidR="00A05A30" w:rsidRPr="00AF73DA" w:rsidRDefault="00782DF5" w:rsidP="00A05A30">
            <w:pPr>
              <w:pStyle w:val="Listenabsatz"/>
              <w:numPr>
                <w:ilvl w:val="0"/>
                <w:numId w:val="27"/>
              </w:numPr>
              <w:spacing w:after="160" w:line="259" w:lineRule="auto"/>
              <w:cnfStyle w:val="100000000000" w:firstRow="1" w:lastRow="0" w:firstColumn="0" w:lastColumn="0" w:oddVBand="0" w:evenVBand="0" w:oddHBand="0" w:evenHBand="0" w:firstRowFirstColumn="0" w:firstRowLastColumn="0" w:lastRowFirstColumn="0" w:lastRowLastColumn="0"/>
              <w:rPr>
                <w:b w:val="0"/>
                <w:bCs/>
              </w:rPr>
            </w:pPr>
            <w:r w:rsidRPr="00AF73DA">
              <w:rPr>
                <w:b w:val="0"/>
                <w:bCs/>
              </w:rPr>
              <w:t>Set to ‘</w:t>
            </w:r>
            <w:r w:rsidR="001C289A" w:rsidRPr="00AF73DA">
              <w:t>Every</w:t>
            </w:r>
            <w:r w:rsidRPr="00AF73DA">
              <w:t xml:space="preserve"> </w:t>
            </w:r>
            <w:r w:rsidR="00874A31" w:rsidRPr="00AF73DA">
              <w:t>X hours</w:t>
            </w:r>
            <w:r w:rsidRPr="00AF73DA">
              <w:t>’</w:t>
            </w:r>
            <w:r w:rsidR="00CD62D7" w:rsidRPr="00AF73DA">
              <w:t xml:space="preserve"> </w:t>
            </w:r>
            <w:r w:rsidR="00CD62D7" w:rsidRPr="00AF73DA">
              <w:rPr>
                <w:b w:val="0"/>
                <w:bCs/>
              </w:rPr>
              <w:t>Between</w:t>
            </w:r>
            <w:r w:rsidR="00CD62D7" w:rsidRPr="00AF73DA">
              <w:t xml:space="preserve"> ’00:00’ </w:t>
            </w:r>
            <w:r w:rsidR="00CD62D7" w:rsidRPr="00AF73DA">
              <w:rPr>
                <w:b w:val="0"/>
                <w:bCs/>
              </w:rPr>
              <w:t>and</w:t>
            </w:r>
            <w:r w:rsidR="00CD62D7" w:rsidRPr="00AF73DA">
              <w:t xml:space="preserve"> ’24:00’</w:t>
            </w:r>
            <w:r w:rsidR="00464B1F" w:rsidRPr="00AF73DA">
              <w:rPr>
                <w:b w:val="0"/>
                <w:bCs/>
              </w:rPr>
              <w:br/>
            </w:r>
            <w:r w:rsidR="00A05A30" w:rsidRPr="00AF73DA">
              <w:rPr>
                <w:b w:val="0"/>
                <w:bCs/>
              </w:rPr>
              <w:t>Replace X with the desired frequency, ensuring it matches the time set in the "More" tab under "All Parameters." For example, if it’s set to 2 hours, “timeOffsetInMinutes” must be set to ‘120’</w:t>
            </w:r>
            <w:r w:rsidR="00B54676" w:rsidRPr="00AF73DA">
              <w:rPr>
                <w:b w:val="0"/>
                <w:bCs/>
              </w:rPr>
              <w:t xml:space="preserve"> minutes</w:t>
            </w:r>
            <w:r w:rsidR="00A05A30" w:rsidRPr="00AF73DA">
              <w:rPr>
                <w:b w:val="0"/>
                <w:bCs/>
              </w:rPr>
              <w:t>. The default value is 2 hours.</w:t>
            </w:r>
          </w:p>
          <w:p w14:paraId="4520EE75" w14:textId="1B720D55" w:rsidR="001C289A" w:rsidRPr="00803ADB" w:rsidRDefault="00803ADB" w:rsidP="00803ADB">
            <w:pPr>
              <w:spacing w:after="160" w:line="259" w:lineRule="auto"/>
              <w:cnfStyle w:val="100000000000" w:firstRow="1" w:lastRow="0" w:firstColumn="0" w:lastColumn="0" w:oddVBand="0" w:evenVBand="0" w:oddHBand="0" w:evenHBand="0" w:firstRowFirstColumn="0" w:firstRowLastColumn="0" w:lastRowFirstColumn="0" w:lastRowLastColumn="0"/>
              <w:rPr>
                <w:bCs/>
              </w:rPr>
            </w:pPr>
            <w:r>
              <w:rPr>
                <w:noProof/>
              </w:rPr>
              <w:drawing>
                <wp:inline distT="0" distB="0" distL="0" distR="0" wp14:anchorId="4F13D092" wp14:editId="463553DF">
                  <wp:extent cx="6120130" cy="137033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20130" cy="1370330"/>
                          </a:xfrm>
                          <a:prstGeom prst="rect">
                            <a:avLst/>
                          </a:prstGeom>
                        </pic:spPr>
                      </pic:pic>
                    </a:graphicData>
                  </a:graphic>
                </wp:inline>
              </w:drawing>
            </w:r>
          </w:p>
        </w:tc>
      </w:tr>
    </w:tbl>
    <w:p w14:paraId="00D3EF5B" w14:textId="77777777" w:rsidR="009E3CCB" w:rsidRDefault="009E3CCB" w:rsidP="00D0109F">
      <w:pPr>
        <w:rPr>
          <w:b/>
          <w:bCs/>
        </w:rPr>
      </w:pPr>
    </w:p>
    <w:p w14:paraId="1CC52652" w14:textId="77777777" w:rsidR="00D0109F" w:rsidRDefault="00D0109F" w:rsidP="00D0109F">
      <w:pPr>
        <w:rPr>
          <w:b/>
          <w:bCs/>
        </w:rPr>
      </w:pPr>
      <w:r w:rsidRPr="009F762E">
        <w:rPr>
          <w:b/>
          <w:bCs/>
        </w:rPr>
        <w:t xml:space="preserve">Receiver: </w:t>
      </w:r>
      <w:r>
        <w:rPr>
          <w:b/>
          <w:bCs/>
        </w:rPr>
        <w:t>LeanIX</w:t>
      </w:r>
    </w:p>
    <w:p w14:paraId="525BDED2" w14:textId="77777777" w:rsidR="00D0109F" w:rsidRDefault="00D0109F" w:rsidP="00D0109F">
      <w:pPr>
        <w:rPr>
          <w:b/>
          <w:bCs/>
        </w:rPr>
      </w:pPr>
    </w:p>
    <w:tbl>
      <w:tblPr>
        <w:tblStyle w:val="Tabellenraster"/>
        <w:tblW w:w="0" w:type="auto"/>
        <w:tblLook w:val="04A0" w:firstRow="1" w:lastRow="0" w:firstColumn="1" w:lastColumn="0" w:noHBand="0" w:noVBand="1"/>
      </w:tblPr>
      <w:tblGrid>
        <w:gridCol w:w="1701"/>
        <w:gridCol w:w="7655"/>
      </w:tblGrid>
      <w:tr w:rsidR="00D0109F" w14:paraId="78893085" w14:textId="77777777" w:rsidTr="00636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97FFF9F" w14:textId="77777777" w:rsidR="00D0109F" w:rsidRDefault="00D0109F" w:rsidP="00636A13">
            <w:pPr>
              <w:rPr>
                <w:b w:val="0"/>
                <w:bCs/>
              </w:rPr>
            </w:pPr>
            <w:r>
              <w:rPr>
                <w:b w:val="0"/>
                <w:bCs/>
              </w:rPr>
              <w:t>Address</w:t>
            </w:r>
          </w:p>
        </w:tc>
        <w:tc>
          <w:tcPr>
            <w:tcW w:w="7655" w:type="dxa"/>
          </w:tcPr>
          <w:p w14:paraId="2E7E4EBB" w14:textId="77777777" w:rsidR="00D0109F" w:rsidRPr="00ED2EFC" w:rsidRDefault="00D0109F" w:rsidP="00636A13">
            <w:pPr>
              <w:spacing w:after="160" w:line="259" w:lineRule="auto"/>
              <w:cnfStyle w:val="100000000000" w:firstRow="1" w:lastRow="0" w:firstColumn="0" w:lastColumn="0" w:oddVBand="0" w:evenVBand="0" w:oddHBand="0" w:evenHBand="0" w:firstRowFirstColumn="0" w:firstRowLastColumn="0" w:lastRowFirstColumn="0" w:lastRowLastColumn="0"/>
              <w:rPr>
                <w:b w:val="0"/>
                <w:bCs/>
              </w:rPr>
            </w:pPr>
            <w:r w:rsidRPr="00ED2EFC">
              <w:rPr>
                <w:b w:val="0"/>
                <w:bCs/>
              </w:rPr>
              <w:t xml:space="preserve">Enter the SAP LeanIX API URL. The address should follow this pattern: </w:t>
            </w:r>
          </w:p>
          <w:p w14:paraId="3E9F18DA" w14:textId="77777777" w:rsidR="00D0109F" w:rsidRPr="00A11585" w:rsidRDefault="00D0109F" w:rsidP="00636A13">
            <w:pPr>
              <w:spacing w:after="160" w:line="259" w:lineRule="auto"/>
              <w:cnfStyle w:val="100000000000" w:firstRow="1" w:lastRow="0" w:firstColumn="0" w:lastColumn="0" w:oddVBand="0" w:evenVBand="0" w:oddHBand="0" w:evenHBand="0" w:firstRowFirstColumn="0" w:firstRowLastColumn="0" w:lastRowFirstColumn="0" w:lastRowLastColumn="0"/>
              <w:rPr>
                <w:b w:val="0"/>
              </w:rPr>
            </w:pPr>
            <w:r w:rsidRPr="00ED2EFC">
              <w:rPr>
                <w:b w:val="0"/>
                <w:bCs/>
              </w:rPr>
              <w:t>https://&lt;customerdomain&gt;.lean</w:t>
            </w:r>
            <w:r>
              <w:rPr>
                <w:b w:val="0"/>
                <w:bCs/>
              </w:rPr>
              <w:t>ix</w:t>
            </w:r>
            <w:r w:rsidRPr="00ED2EFC">
              <w:rPr>
                <w:b w:val="0"/>
                <w:bCs/>
              </w:rPr>
              <w:t>.net/services/pathfinder/v1/graphql</w:t>
            </w:r>
          </w:p>
        </w:tc>
      </w:tr>
      <w:tr w:rsidR="00D0109F" w14:paraId="7C3002C8" w14:textId="77777777" w:rsidTr="00636A13">
        <w:tc>
          <w:tcPr>
            <w:cnfStyle w:val="001000000000" w:firstRow="0" w:lastRow="0" w:firstColumn="1" w:lastColumn="0" w:oddVBand="0" w:evenVBand="0" w:oddHBand="0" w:evenHBand="0" w:firstRowFirstColumn="0" w:firstRowLastColumn="0" w:lastRowFirstColumn="0" w:lastRowLastColumn="0"/>
            <w:tcW w:w="1701" w:type="dxa"/>
          </w:tcPr>
          <w:p w14:paraId="4217498A" w14:textId="77777777" w:rsidR="00D0109F" w:rsidRDefault="00D0109F" w:rsidP="00636A13">
            <w:pPr>
              <w:rPr>
                <w:b w:val="0"/>
                <w:bCs/>
              </w:rPr>
            </w:pPr>
            <w:r>
              <w:rPr>
                <w:b w:val="0"/>
                <w:bCs/>
              </w:rPr>
              <w:t>Credential Name</w:t>
            </w:r>
          </w:p>
        </w:tc>
        <w:tc>
          <w:tcPr>
            <w:tcW w:w="7655" w:type="dxa"/>
          </w:tcPr>
          <w:p w14:paraId="126D0A47" w14:textId="77777777" w:rsidR="00D0109F" w:rsidRDefault="00D0109F" w:rsidP="00636A13">
            <w:pPr>
              <w:cnfStyle w:val="000000000000" w:firstRow="0" w:lastRow="0" w:firstColumn="0" w:lastColumn="0" w:oddVBand="0" w:evenVBand="0" w:oddHBand="0" w:evenHBand="0" w:firstRowFirstColumn="0" w:firstRowLastColumn="0" w:lastRowFirstColumn="0" w:lastRowLastColumn="0"/>
              <w:rPr>
                <w:b/>
                <w:bCs/>
              </w:rPr>
            </w:pPr>
            <w:r w:rsidRPr="00621BE1">
              <w:t xml:space="preserve">Enter the </w:t>
            </w:r>
            <w:r>
              <w:t xml:space="preserve">credential </w:t>
            </w:r>
            <w:r w:rsidRPr="00621BE1">
              <w:t xml:space="preserve">name of a </w:t>
            </w:r>
            <w:r>
              <w:t>SAP LeanIX</w:t>
            </w:r>
            <w:r w:rsidRPr="00621BE1">
              <w:t xml:space="preserve"> API user (OAuth2). To set this up, please create OAuth2 client credentials (refer</w:t>
            </w:r>
            <w:r>
              <w:t xml:space="preserve"> to</w:t>
            </w:r>
            <w:r w:rsidRPr="00621BE1">
              <w:t xml:space="preserve"> </w:t>
            </w:r>
            <w:hyperlink r:id="rId31" w:history="1">
              <w:r>
                <w:rPr>
                  <w:rStyle w:val="Hyperlink"/>
                </w:rPr>
                <w:t>SAP LeanIX</w:t>
              </w:r>
              <w:r w:rsidRPr="0005466B">
                <w:rPr>
                  <w:rStyle w:val="Hyperlink"/>
                </w:rPr>
                <w:t xml:space="preserve"> Developer Docs</w:t>
              </w:r>
            </w:hyperlink>
            <w:r w:rsidRPr="00621BE1">
              <w:t>) and add these credentials as security material (OAuth2 Credentials) in the SAP Integration Suite. Then, enter the created credentials.</w:t>
            </w:r>
          </w:p>
        </w:tc>
      </w:tr>
    </w:tbl>
    <w:p w14:paraId="58E7AD50" w14:textId="77777777" w:rsidR="00D0109F" w:rsidRPr="009F762E" w:rsidRDefault="00D0109F" w:rsidP="00D0109F">
      <w:pPr>
        <w:rPr>
          <w:b/>
          <w:bCs/>
        </w:rPr>
      </w:pPr>
    </w:p>
    <w:p w14:paraId="4AF0BD3D" w14:textId="5508D952" w:rsidR="00D0109F" w:rsidRDefault="00D0109F" w:rsidP="00D0109F">
      <w:pPr>
        <w:rPr>
          <w:b/>
          <w:bCs/>
        </w:rPr>
      </w:pPr>
      <w:r w:rsidRPr="009F762E">
        <w:rPr>
          <w:b/>
          <w:bCs/>
        </w:rPr>
        <w:t xml:space="preserve">Receiver: </w:t>
      </w:r>
      <w:r w:rsidR="00586716">
        <w:rPr>
          <w:b/>
          <w:bCs/>
        </w:rPr>
        <w:t>Integration_Assessment</w:t>
      </w:r>
    </w:p>
    <w:p w14:paraId="1098AB93" w14:textId="77777777" w:rsidR="00D0109F" w:rsidRDefault="00D0109F" w:rsidP="00D0109F">
      <w:pPr>
        <w:rPr>
          <w:b/>
          <w:bCs/>
        </w:rPr>
      </w:pPr>
    </w:p>
    <w:tbl>
      <w:tblPr>
        <w:tblStyle w:val="Tabellenraster"/>
        <w:tblW w:w="0" w:type="auto"/>
        <w:tblLook w:val="04A0" w:firstRow="1" w:lastRow="0" w:firstColumn="1" w:lastColumn="0" w:noHBand="0" w:noVBand="1"/>
      </w:tblPr>
      <w:tblGrid>
        <w:gridCol w:w="1701"/>
        <w:gridCol w:w="7937"/>
      </w:tblGrid>
      <w:tr w:rsidR="00D0109F" w14:paraId="59CF9AF8" w14:textId="77777777" w:rsidTr="00636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BFAD4C8" w14:textId="77777777" w:rsidR="00D0109F" w:rsidRPr="00EC3324" w:rsidRDefault="00D0109F" w:rsidP="00636A13">
            <w:pPr>
              <w:rPr>
                <w:b w:val="0"/>
              </w:rPr>
            </w:pPr>
            <w:r w:rsidRPr="00EC3324">
              <w:rPr>
                <w:b w:val="0"/>
              </w:rPr>
              <w:t>Address</w:t>
            </w:r>
          </w:p>
        </w:tc>
        <w:tc>
          <w:tcPr>
            <w:tcW w:w="7937" w:type="dxa"/>
          </w:tcPr>
          <w:p w14:paraId="70C1E734" w14:textId="196A5A8A" w:rsidR="00D0109F" w:rsidRPr="00EC3324" w:rsidRDefault="00D0109F" w:rsidP="00636A13">
            <w:pPr>
              <w:spacing w:after="160" w:line="259" w:lineRule="auto"/>
              <w:cnfStyle w:val="100000000000" w:firstRow="1" w:lastRow="0" w:firstColumn="0" w:lastColumn="0" w:oddVBand="0" w:evenVBand="0" w:oddHBand="0" w:evenHBand="0" w:firstRowFirstColumn="0" w:firstRowLastColumn="0" w:lastRowFirstColumn="0" w:lastRowLastColumn="0"/>
              <w:rPr>
                <w:bCs/>
              </w:rPr>
            </w:pPr>
            <w:r w:rsidRPr="00EC3324">
              <w:rPr>
                <w:b w:val="0"/>
                <w:bCs/>
              </w:rPr>
              <w:t>Use the Integration Assessment Vendor URL, following this pattern:</w:t>
            </w:r>
            <w:r>
              <w:rPr>
                <w:bCs/>
              </w:rPr>
              <w:br/>
            </w:r>
            <w:r w:rsidRPr="00EC3324">
              <w:rPr>
                <w:b w:val="0"/>
                <w:bCs/>
              </w:rPr>
              <w:br/>
              <w:t>https://&lt;customerdomain&gt;.hana.ondemand.com/intas/entities/v1/</w:t>
            </w:r>
            <w:r w:rsidR="00586716" w:rsidRPr="00586716">
              <w:rPr>
                <w:bCs/>
              </w:rPr>
              <w:t>IntegrationFlow</w:t>
            </w:r>
          </w:p>
        </w:tc>
      </w:tr>
      <w:tr w:rsidR="00D0109F" w14:paraId="57A38A8F" w14:textId="77777777" w:rsidTr="00636A13">
        <w:tc>
          <w:tcPr>
            <w:cnfStyle w:val="001000000000" w:firstRow="0" w:lastRow="0" w:firstColumn="1" w:lastColumn="0" w:oddVBand="0" w:evenVBand="0" w:oddHBand="0" w:evenHBand="0" w:firstRowFirstColumn="0" w:firstRowLastColumn="0" w:lastRowFirstColumn="0" w:lastRowLastColumn="0"/>
            <w:tcW w:w="1701" w:type="dxa"/>
          </w:tcPr>
          <w:p w14:paraId="0C78F749" w14:textId="77777777" w:rsidR="00D0109F" w:rsidRDefault="00D0109F" w:rsidP="00636A13">
            <w:pPr>
              <w:rPr>
                <w:b w:val="0"/>
                <w:bCs/>
              </w:rPr>
            </w:pPr>
            <w:r>
              <w:rPr>
                <w:b w:val="0"/>
                <w:bCs/>
              </w:rPr>
              <w:t>Credential Name</w:t>
            </w:r>
          </w:p>
        </w:tc>
        <w:tc>
          <w:tcPr>
            <w:tcW w:w="7937" w:type="dxa"/>
          </w:tcPr>
          <w:p w14:paraId="17B3612C" w14:textId="77777777" w:rsidR="00D0109F" w:rsidRDefault="00D0109F" w:rsidP="00636A13">
            <w:pPr>
              <w:cnfStyle w:val="000000000000" w:firstRow="0" w:lastRow="0" w:firstColumn="0" w:lastColumn="0" w:oddVBand="0" w:evenVBand="0" w:oddHBand="0" w:evenHBand="0" w:firstRowFirstColumn="0" w:firstRowLastColumn="0" w:lastRowFirstColumn="0" w:lastRowLastColumn="0"/>
              <w:rPr>
                <w:b/>
                <w:bCs/>
              </w:rPr>
            </w:pPr>
            <w:r w:rsidRPr="003C2183">
              <w:t xml:space="preserve">Use your </w:t>
            </w:r>
            <w:r>
              <w:t>Integration Assessment</w:t>
            </w:r>
            <w:r w:rsidRPr="003C2183">
              <w:t xml:space="preserve"> </w:t>
            </w:r>
            <w:r>
              <w:t>Credentials</w:t>
            </w:r>
            <w:r w:rsidRPr="003C2183">
              <w:t xml:space="preserve"> (OAuth2). To set this up, create OAuth2 client credentials (see </w:t>
            </w:r>
            <w:hyperlink r:id="rId32" w:history="1">
              <w:r w:rsidRPr="00141443">
                <w:rPr>
                  <w:rStyle w:val="Hyperlink"/>
                </w:rPr>
                <w:t>SAP HELP</w:t>
              </w:r>
            </w:hyperlink>
            <w:r w:rsidRPr="003C2183">
              <w:t>) and add these credentials as security material (OAuth2 Credentials) in the SAP Integration Suite. Then, enter the created credentials</w:t>
            </w:r>
            <w:r>
              <w:t>.</w:t>
            </w:r>
          </w:p>
        </w:tc>
      </w:tr>
    </w:tbl>
    <w:p w14:paraId="380764EB" w14:textId="77777777" w:rsidR="00D0109F" w:rsidRDefault="00D0109F" w:rsidP="00D0109F"/>
    <w:p w14:paraId="0EB76477" w14:textId="6531BE73" w:rsidR="00D0109F" w:rsidRDefault="00D0109F" w:rsidP="00D0109F">
      <w:r w:rsidRPr="009F762E">
        <w:lastRenderedPageBreak/>
        <w:t xml:space="preserve">Please ensure that the client credentials are functioning correctly. To start the iFlow, deploy it. </w:t>
      </w:r>
      <w:r w:rsidR="007133E9" w:rsidRPr="007133E9">
        <w:t xml:space="preserve">The integration will automatically run every 2 hours unless configured otherwise, and the </w:t>
      </w:r>
      <w:r w:rsidR="007133E9">
        <w:t>interfaces</w:t>
      </w:r>
      <w:r w:rsidR="007133E9" w:rsidRPr="007133E9">
        <w:t xml:space="preserve"> will be synchronized. You can view all synchronized </w:t>
      </w:r>
      <w:r w:rsidR="00DA440C">
        <w:t>interfaces</w:t>
      </w:r>
      <w:r w:rsidR="007133E9" w:rsidRPr="007133E9">
        <w:t xml:space="preserve"> in the monitoring section, where an attachment with all status codes will be generated.</w:t>
      </w:r>
    </w:p>
    <w:p w14:paraId="2C95DB95" w14:textId="77777777" w:rsidR="00D0109F" w:rsidRDefault="00D0109F" w:rsidP="00D0109F">
      <w:pPr>
        <w:spacing w:line="240" w:lineRule="auto"/>
      </w:pPr>
      <w:r>
        <w:br w:type="page"/>
      </w:r>
    </w:p>
    <w:p w14:paraId="50DAAB9D" w14:textId="77777777" w:rsidR="00AE4C1A" w:rsidRPr="00BF3051" w:rsidRDefault="00AE4C1A" w:rsidP="00C42417"/>
    <w:sectPr w:rsidR="00AE4C1A" w:rsidRPr="00BF3051" w:rsidSect="00021EDF">
      <w:headerReference w:type="default" r:id="rId33"/>
      <w:footerReference w:type="default" r:id="rId34"/>
      <w:headerReference w:type="first" r:id="rId35"/>
      <w:footerReference w:type="first" r:id="rId36"/>
      <w:pgSz w:w="11906" w:h="16838"/>
      <w:pgMar w:top="1609" w:right="1134" w:bottom="1134" w:left="1134"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F48C" w14:textId="77777777" w:rsidR="003A2491" w:rsidRDefault="003A2491" w:rsidP="004F71FC">
      <w:r>
        <w:separator/>
      </w:r>
    </w:p>
    <w:p w14:paraId="0E76503E" w14:textId="77777777" w:rsidR="003A2491" w:rsidRDefault="003A2491"/>
  </w:endnote>
  <w:endnote w:type="continuationSeparator" w:id="0">
    <w:p w14:paraId="17FB1B76" w14:textId="77777777" w:rsidR="003A2491" w:rsidRDefault="003A2491" w:rsidP="004F71FC">
      <w:r>
        <w:continuationSeparator/>
      </w:r>
    </w:p>
    <w:p w14:paraId="175941AE" w14:textId="77777777" w:rsidR="003A2491" w:rsidRDefault="003A2491"/>
  </w:endnote>
  <w:endnote w:type="continuationNotice" w:id="1">
    <w:p w14:paraId="74E86F21" w14:textId="77777777" w:rsidR="003A2491" w:rsidRDefault="003A24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546F" w14:textId="77777777" w:rsidR="000433E6" w:rsidRDefault="00380132" w:rsidP="00824EC5">
    <w:pPr>
      <w:pStyle w:val="Fuzeile"/>
      <w:tabs>
        <w:tab w:val="clear" w:pos="9026"/>
        <w:tab w:val="right" w:pos="9575"/>
      </w:tabs>
    </w:pPr>
    <w:r w:rsidRPr="001C5D50">
      <w:rPr>
        <w:rFonts w:hint="eastAsia"/>
        <w:bCs/>
        <w:lang w:val="en-GB"/>
      </w:rPr>
      <w:t>©</w:t>
    </w:r>
    <w:r>
      <w:rPr>
        <w:bCs/>
        <w:lang w:val="en-GB"/>
      </w:rPr>
      <w:t xml:space="preserve"> 2023</w:t>
    </w:r>
    <w:r w:rsidRPr="001C5D50">
      <w:rPr>
        <w:bCs/>
        <w:lang w:val="en-GB"/>
      </w:rPr>
      <w:t xml:space="preserve"> </w:t>
    </w:r>
    <w:sdt>
      <w:sdtPr>
        <w:rPr>
          <w:bCs/>
          <w:lang w:val="en-GB"/>
        </w:rPr>
        <w:alias w:val="Company"/>
        <w:tag w:val=""/>
        <w:id w:val="-1979137449"/>
        <w:placeholder>
          <w:docPart w:val="FFAA5F9617F24E68AA20D50C3717AD93"/>
        </w:placeholder>
        <w:dataBinding w:prefixMappings="xmlns:ns0='http://schemas.openxmlformats.org/officeDocument/2006/extended-properties' " w:xpath="/ns0:Properties[1]/ns0:Company[1]" w:storeItemID="{6668398D-A668-4E3E-A5EB-62B293D839F1}"/>
        <w:text/>
      </w:sdtPr>
      <w:sdtContent>
        <w:r w:rsidR="00A769FC">
          <w:rPr>
            <w:bCs/>
            <w:lang w:val="en-GB"/>
          </w:rPr>
          <w:t>NTT DATA Business Solutions</w:t>
        </w:r>
      </w:sdtContent>
    </w:sdt>
    <w:r w:rsidRPr="001C5D50">
      <w:rPr>
        <w:b/>
        <w:bCs/>
        <w:lang w:val="en-GB"/>
      </w:rPr>
      <w:t xml:space="preserve"> </w:t>
    </w:r>
    <w:r>
      <w:rPr>
        <w:noProof/>
      </w:rPr>
      <mc:AlternateContent>
        <mc:Choice Requires="wps">
          <w:drawing>
            <wp:anchor distT="45720" distB="45720" distL="114300" distR="114300" simplePos="0" relativeHeight="251658245" behindDoc="0" locked="0" layoutInCell="1" allowOverlap="1" wp14:anchorId="02042CCF" wp14:editId="7537B92B">
              <wp:simplePos x="0" y="0"/>
              <wp:positionH relativeFrom="margin">
                <wp:align>right</wp:align>
              </wp:positionH>
              <wp:positionV relativeFrom="paragraph">
                <wp:posOffset>5715</wp:posOffset>
              </wp:positionV>
              <wp:extent cx="804545" cy="160020"/>
              <wp:effectExtent l="0" t="0" r="0" b="0"/>
              <wp:wrapSquare wrapText="bothSides"/>
              <wp:docPr id="1448290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60020"/>
                      </a:xfrm>
                      <a:prstGeom prst="rect">
                        <a:avLst/>
                      </a:prstGeom>
                      <a:solidFill>
                        <a:srgbClr val="FFFFFF"/>
                      </a:solidFill>
                      <a:ln w="9525">
                        <a:noFill/>
                        <a:miter lim="800000"/>
                        <a:headEnd/>
                        <a:tailEnd/>
                      </a:ln>
                    </wps:spPr>
                    <wps:txbx>
                      <w:txbxContent>
                        <w:p w14:paraId="395AD706" w14:textId="77777777" w:rsidR="00380132" w:rsidRPr="00824EC5" w:rsidRDefault="00380132" w:rsidP="00C12906">
                          <w:pPr>
                            <w:pStyle w:val="Fuzeile"/>
                            <w:jc w:val="right"/>
                            <w:rPr>
                              <w:b/>
                              <w:bCs/>
                            </w:rPr>
                          </w:pPr>
                          <w:r w:rsidRPr="00824EC5">
                            <w:t xml:space="preserve">Page </w:t>
                          </w:r>
                          <w:r w:rsidRPr="00824EC5">
                            <w:rPr>
                              <w:b/>
                              <w:bCs/>
                            </w:rPr>
                            <w:fldChar w:fldCharType="begin"/>
                          </w:r>
                          <w:r w:rsidRPr="00824EC5">
                            <w:rPr>
                              <w:b/>
                              <w:bCs/>
                            </w:rPr>
                            <w:instrText xml:space="preserve"> PAGE  \* Arabic  \* MERGEFORMAT </w:instrText>
                          </w:r>
                          <w:r w:rsidRPr="00824EC5">
                            <w:rPr>
                              <w:b/>
                              <w:bCs/>
                            </w:rPr>
                            <w:fldChar w:fldCharType="separate"/>
                          </w:r>
                          <w:r w:rsidRPr="00824EC5">
                            <w:rPr>
                              <w:b/>
                              <w:bCs/>
                            </w:rPr>
                            <w:t>2</w:t>
                          </w:r>
                          <w:r w:rsidRPr="00824EC5">
                            <w:rPr>
                              <w:b/>
                              <w:bCs/>
                            </w:rPr>
                            <w:fldChar w:fldCharType="end"/>
                          </w:r>
                          <w:r w:rsidRPr="00824EC5">
                            <w:t xml:space="preserve"> of </w:t>
                          </w:r>
                          <w:r w:rsidRPr="00824EC5">
                            <w:rPr>
                              <w:b/>
                              <w:bCs/>
                            </w:rPr>
                            <w:fldChar w:fldCharType="begin"/>
                          </w:r>
                          <w:r w:rsidRPr="00824EC5">
                            <w:rPr>
                              <w:b/>
                              <w:bCs/>
                            </w:rPr>
                            <w:instrText xml:space="preserve"> NUMPAGES  \* Arabic  \* MERGEFORMAT </w:instrText>
                          </w:r>
                          <w:r w:rsidRPr="00824EC5">
                            <w:rPr>
                              <w:b/>
                              <w:bCs/>
                            </w:rPr>
                            <w:fldChar w:fldCharType="separate"/>
                          </w:r>
                          <w:r w:rsidRPr="00824EC5">
                            <w:rPr>
                              <w:b/>
                              <w:bCs/>
                            </w:rPr>
                            <w:t>7</w:t>
                          </w:r>
                          <w:r w:rsidRPr="00824EC5">
                            <w:rPr>
                              <w:b/>
                              <w:bCs/>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2042CCF" id="_x0000_t202" coordsize="21600,21600" o:spt="202" path="m,l,21600r21600,l21600,xe">
              <v:stroke joinstyle="miter"/>
              <v:path gradientshapeok="t" o:connecttype="rect"/>
            </v:shapetype>
            <v:shape id="Text Box 2" o:spid="_x0000_s1026" type="#_x0000_t202" style="position:absolute;margin-left:12.15pt;margin-top:.45pt;width:63.35pt;height:12.6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" stroked="f">
              <v:textbox style="mso-fit-shape-to-text:t" inset="0,0,0,0">
                <w:txbxContent>
                  <w:p w14:paraId="395AD706" w14:textId="77777777" w:rsidR="00380132" w:rsidRPr="00824EC5" w:rsidRDefault="00380132" w:rsidP="00C12906">
                    <w:pPr>
                      <w:pStyle w:val="Fuzeile"/>
                      <w:jc w:val="right"/>
                      <w:rPr>
                        <w:b/>
                        <w:bCs/>
                      </w:rPr>
                    </w:pPr>
                    <w:r w:rsidRPr="00824EC5">
                      <w:t xml:space="preserve">Page </w:t>
                    </w:r>
                    <w:r w:rsidRPr="00824EC5">
                      <w:rPr>
                        <w:b/>
                        <w:bCs/>
                      </w:rPr>
                      <w:fldChar w:fldCharType="begin"/>
                    </w:r>
                    <w:r w:rsidRPr="00824EC5">
                      <w:rPr>
                        <w:b/>
                        <w:bCs/>
                      </w:rPr>
                      <w:instrText xml:space="preserve"> PAGE  \* Arabic  \* MERGEFORMAT </w:instrText>
                    </w:r>
                    <w:r w:rsidRPr="00824EC5">
                      <w:rPr>
                        <w:b/>
                        <w:bCs/>
                      </w:rPr>
                      <w:fldChar w:fldCharType="separate"/>
                    </w:r>
                    <w:r w:rsidRPr="00824EC5">
                      <w:rPr>
                        <w:b/>
                        <w:bCs/>
                      </w:rPr>
                      <w:t>2</w:t>
                    </w:r>
                    <w:r w:rsidRPr="00824EC5">
                      <w:rPr>
                        <w:b/>
                        <w:bCs/>
                      </w:rPr>
                      <w:fldChar w:fldCharType="end"/>
                    </w:r>
                    <w:r w:rsidRPr="00824EC5">
                      <w:t xml:space="preserve"> of </w:t>
                    </w:r>
                    <w:r w:rsidRPr="00824EC5">
                      <w:rPr>
                        <w:b/>
                        <w:bCs/>
                      </w:rPr>
                      <w:fldChar w:fldCharType="begin"/>
                    </w:r>
                    <w:r w:rsidRPr="00824EC5">
                      <w:rPr>
                        <w:b/>
                        <w:bCs/>
                      </w:rPr>
                      <w:instrText xml:space="preserve"> NUMPAGES  \* Arabic  \* MERGEFORMAT </w:instrText>
                    </w:r>
                    <w:r w:rsidRPr="00824EC5">
                      <w:rPr>
                        <w:b/>
                        <w:bCs/>
                      </w:rPr>
                      <w:fldChar w:fldCharType="separate"/>
                    </w:r>
                    <w:r w:rsidRPr="00824EC5">
                      <w:rPr>
                        <w:b/>
                        <w:bCs/>
                      </w:rPr>
                      <w:t>7</w:t>
                    </w:r>
                    <w:r w:rsidRPr="00824EC5">
                      <w:rPr>
                        <w:b/>
                        <w:bC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D157" w14:textId="77777777" w:rsidR="00824EC5" w:rsidRDefault="00824EC5" w:rsidP="00824EC5">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73C8" w14:textId="77777777" w:rsidR="00762711" w:rsidRPr="007A03B6" w:rsidRDefault="00762711" w:rsidP="00824EC5">
    <w:pPr>
      <w:pStyle w:val="Fuzeile"/>
      <w:tabs>
        <w:tab w:val="clear" w:pos="9026"/>
        <w:tab w:val="right" w:pos="9575"/>
      </w:tabs>
      <w:rPr>
        <w:bCs/>
      </w:rPr>
    </w:pPr>
    <w:r w:rsidRPr="00762711">
      <w:rPr>
        <w:noProof/>
        <w:sz w:val="12"/>
        <w:szCs w:val="12"/>
      </w:rPr>
      <mc:AlternateContent>
        <mc:Choice Requires="wps">
          <w:drawing>
            <wp:anchor distT="45720" distB="45720" distL="114300" distR="114300" simplePos="0" relativeHeight="251658246" behindDoc="0" locked="0" layoutInCell="1" allowOverlap="1" wp14:anchorId="6341DBE4" wp14:editId="709DB442">
              <wp:simplePos x="0" y="0"/>
              <wp:positionH relativeFrom="margin">
                <wp:align>right</wp:align>
              </wp:positionH>
              <wp:positionV relativeFrom="paragraph">
                <wp:posOffset>4445</wp:posOffset>
              </wp:positionV>
              <wp:extent cx="804545" cy="160020"/>
              <wp:effectExtent l="0" t="0" r="0" b="0"/>
              <wp:wrapSquare wrapText="bothSides"/>
              <wp:docPr id="321570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60020"/>
                      </a:xfrm>
                      <a:prstGeom prst="rect">
                        <a:avLst/>
                      </a:prstGeom>
                      <a:solidFill>
                        <a:srgbClr val="FFFFFF"/>
                      </a:solidFill>
                      <a:ln w="9525">
                        <a:noFill/>
                        <a:miter lim="800000"/>
                        <a:headEnd/>
                        <a:tailEnd/>
                      </a:ln>
                    </wps:spPr>
                    <wps:txbx>
                      <w:txbxContent>
                        <w:p w14:paraId="7B71E24C" w14:textId="77777777" w:rsidR="00762711" w:rsidRPr="00824EC5" w:rsidRDefault="00762711" w:rsidP="00C12906">
                          <w:pPr>
                            <w:pStyle w:val="Fuzeile"/>
                            <w:jc w:val="right"/>
                            <w:rPr>
                              <w:b/>
                              <w:bCs/>
                            </w:rPr>
                          </w:pPr>
                          <w:r w:rsidRPr="00824EC5">
                            <w:t xml:space="preserve">Page </w:t>
                          </w:r>
                          <w:r w:rsidRPr="00824EC5">
                            <w:rPr>
                              <w:b/>
                              <w:bCs/>
                            </w:rPr>
                            <w:fldChar w:fldCharType="begin"/>
                          </w:r>
                          <w:r w:rsidRPr="00824EC5">
                            <w:rPr>
                              <w:b/>
                              <w:bCs/>
                            </w:rPr>
                            <w:instrText xml:space="preserve"> PAGE  \* Arabic  \* MERGEFORMAT </w:instrText>
                          </w:r>
                          <w:r w:rsidRPr="00824EC5">
                            <w:rPr>
                              <w:b/>
                              <w:bCs/>
                            </w:rPr>
                            <w:fldChar w:fldCharType="separate"/>
                          </w:r>
                          <w:r w:rsidRPr="00824EC5">
                            <w:rPr>
                              <w:b/>
                              <w:bCs/>
                            </w:rPr>
                            <w:t>2</w:t>
                          </w:r>
                          <w:r w:rsidRPr="00824EC5">
                            <w:rPr>
                              <w:b/>
                              <w:bCs/>
                            </w:rPr>
                            <w:fldChar w:fldCharType="end"/>
                          </w:r>
                          <w:r w:rsidRPr="00824EC5">
                            <w:t xml:space="preserve"> of </w:t>
                          </w:r>
                          <w:r w:rsidRPr="00824EC5">
                            <w:rPr>
                              <w:b/>
                              <w:bCs/>
                            </w:rPr>
                            <w:fldChar w:fldCharType="begin"/>
                          </w:r>
                          <w:r w:rsidRPr="00824EC5">
                            <w:rPr>
                              <w:b/>
                              <w:bCs/>
                            </w:rPr>
                            <w:instrText xml:space="preserve"> NUMPAGES  \* Arabic  \* MERGEFORMAT </w:instrText>
                          </w:r>
                          <w:r w:rsidRPr="00824EC5">
                            <w:rPr>
                              <w:b/>
                              <w:bCs/>
                            </w:rPr>
                            <w:fldChar w:fldCharType="separate"/>
                          </w:r>
                          <w:r w:rsidRPr="00824EC5">
                            <w:rPr>
                              <w:b/>
                              <w:bCs/>
                            </w:rPr>
                            <w:t>7</w:t>
                          </w:r>
                          <w:r w:rsidRPr="00824EC5">
                            <w:rPr>
                              <w:b/>
                              <w:bCs/>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41DBE4" id="_x0000_t202" coordsize="21600,21600" o:spt="202" path="m,l,21600r21600,l21600,xe">
              <v:stroke joinstyle="miter"/>
              <v:path gradientshapeok="t" o:connecttype="rect"/>
            </v:shapetype>
            <v:shape id="_x0000_s1027" type="#_x0000_t202" style="position:absolute;margin-left:12.15pt;margin-top:.35pt;width:63.35pt;height:12.6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" stroked="f">
              <v:textbox style="mso-fit-shape-to-text:t" inset="0,0,0,0">
                <w:txbxContent>
                  <w:p w14:paraId="7B71E24C" w14:textId="77777777" w:rsidR="00762711" w:rsidRPr="00824EC5" w:rsidRDefault="00762711" w:rsidP="00C12906">
                    <w:pPr>
                      <w:pStyle w:val="Fuzeile"/>
                      <w:jc w:val="right"/>
                      <w:rPr>
                        <w:b/>
                        <w:bCs/>
                      </w:rPr>
                    </w:pPr>
                    <w:r w:rsidRPr="00824EC5">
                      <w:t xml:space="preserve">Page </w:t>
                    </w:r>
                    <w:r w:rsidRPr="00824EC5">
                      <w:rPr>
                        <w:b/>
                        <w:bCs/>
                      </w:rPr>
                      <w:fldChar w:fldCharType="begin"/>
                    </w:r>
                    <w:r w:rsidRPr="00824EC5">
                      <w:rPr>
                        <w:b/>
                        <w:bCs/>
                      </w:rPr>
                      <w:instrText xml:space="preserve"> PAGE  \* Arabic  \* MERGEFORMAT </w:instrText>
                    </w:r>
                    <w:r w:rsidRPr="00824EC5">
                      <w:rPr>
                        <w:b/>
                        <w:bCs/>
                      </w:rPr>
                      <w:fldChar w:fldCharType="separate"/>
                    </w:r>
                    <w:r w:rsidRPr="00824EC5">
                      <w:rPr>
                        <w:b/>
                        <w:bCs/>
                      </w:rPr>
                      <w:t>2</w:t>
                    </w:r>
                    <w:r w:rsidRPr="00824EC5">
                      <w:rPr>
                        <w:b/>
                        <w:bCs/>
                      </w:rPr>
                      <w:fldChar w:fldCharType="end"/>
                    </w:r>
                    <w:r w:rsidRPr="00824EC5">
                      <w:t xml:space="preserve"> of </w:t>
                    </w:r>
                    <w:r w:rsidRPr="00824EC5">
                      <w:rPr>
                        <w:b/>
                        <w:bCs/>
                      </w:rPr>
                      <w:fldChar w:fldCharType="begin"/>
                    </w:r>
                    <w:r w:rsidRPr="00824EC5">
                      <w:rPr>
                        <w:b/>
                        <w:bCs/>
                      </w:rPr>
                      <w:instrText xml:space="preserve"> NUMPAGES  \* Arabic  \* MERGEFORMAT </w:instrText>
                    </w:r>
                    <w:r w:rsidRPr="00824EC5">
                      <w:rPr>
                        <w:b/>
                        <w:bCs/>
                      </w:rPr>
                      <w:fldChar w:fldCharType="separate"/>
                    </w:r>
                    <w:r w:rsidRPr="00824EC5">
                      <w:rPr>
                        <w:b/>
                        <w:bCs/>
                      </w:rPr>
                      <w:t>7</w:t>
                    </w:r>
                    <w:r w:rsidRPr="00824EC5">
                      <w:rPr>
                        <w:b/>
                        <w:bCs/>
                      </w:rPr>
                      <w:fldChar w:fldCharType="end"/>
                    </w:r>
                  </w:p>
                </w:txbxContent>
              </v:textbox>
              <w10:wrap type="square" anchorx="margin"/>
            </v:shape>
          </w:pict>
        </mc:Fallback>
      </mc:AlternateContent>
    </w:r>
    <w:r w:rsidRPr="001C5D50">
      <w:rPr>
        <w:bCs/>
        <w:lang w:val="en-GB"/>
      </w:rPr>
      <w:t>©</w:t>
    </w:r>
    <w:r>
      <w:rPr>
        <w:bCs/>
        <w:lang w:val="en-GB"/>
      </w:rPr>
      <w:t xml:space="preserve"> </w:t>
    </w:r>
    <w:r w:rsidRPr="007A03B6">
      <w:rPr>
        <w:bCs/>
      </w:rPr>
      <w:t>202</w:t>
    </w:r>
    <w:r w:rsidR="005872FC">
      <w:rPr>
        <w:bCs/>
      </w:rPr>
      <w:t>4</w:t>
    </w:r>
    <w:r w:rsidRPr="001C5D50">
      <w:rPr>
        <w:bCs/>
        <w:lang w:val="en-GB"/>
      </w:rPr>
      <w:t xml:space="preserve"> </w:t>
    </w:r>
    <w:sdt>
      <w:sdtPr>
        <w:rPr>
          <w:bCs/>
        </w:rPr>
        <w:alias w:val="Company"/>
        <w:tag w:val=""/>
        <w:id w:val="-1607030622"/>
        <w:placeholder>
          <w:docPart w:val="1707D935E0B3447892247BB9D42DCAEF"/>
        </w:placeholder>
        <w:dataBinding w:prefixMappings="xmlns:ns0='http://schemas.openxmlformats.org/officeDocument/2006/extended-properties' " w:xpath="/ns0:Properties[1]/ns0:Company[1]" w:storeItemID="{6668398D-A668-4E3E-A5EB-62B293D839F1}"/>
        <w:text/>
      </w:sdtPr>
      <w:sdtContent>
        <w:r w:rsidR="00A769FC" w:rsidRPr="007A03B6">
          <w:rPr>
            <w:bCs/>
          </w:rPr>
          <w:t>NTT DATA Business Solutions</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CF6E" w14:textId="77777777" w:rsidR="00C12906" w:rsidRPr="00A769FC" w:rsidRDefault="00762711" w:rsidP="00C12906">
    <w:pPr>
      <w:pStyle w:val="Fuzeile"/>
      <w:tabs>
        <w:tab w:val="clear" w:pos="9026"/>
        <w:tab w:val="right" w:pos="9575"/>
      </w:tabs>
      <w:rPr>
        <w:bCs/>
        <w:lang w:val="en-GB"/>
      </w:rPr>
    </w:pPr>
    <w:r w:rsidRPr="00762711">
      <w:rPr>
        <w:noProof/>
        <w:sz w:val="12"/>
        <w:szCs w:val="12"/>
      </w:rPr>
      <mc:AlternateContent>
        <mc:Choice Requires="wps">
          <w:drawing>
            <wp:anchor distT="45720" distB="45720" distL="114300" distR="114300" simplePos="0" relativeHeight="251658242" behindDoc="0" locked="0" layoutInCell="1" allowOverlap="1" wp14:anchorId="793EDE16" wp14:editId="7BDAE9A6">
              <wp:simplePos x="0" y="0"/>
              <wp:positionH relativeFrom="margin">
                <wp:align>right</wp:align>
              </wp:positionH>
              <wp:positionV relativeFrom="paragraph">
                <wp:posOffset>4445</wp:posOffset>
              </wp:positionV>
              <wp:extent cx="804545" cy="1600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60020"/>
                      </a:xfrm>
                      <a:prstGeom prst="rect">
                        <a:avLst/>
                      </a:prstGeom>
                      <a:solidFill>
                        <a:srgbClr val="FFFFFF"/>
                      </a:solidFill>
                      <a:ln w="9525">
                        <a:noFill/>
                        <a:miter lim="800000"/>
                        <a:headEnd/>
                        <a:tailEnd/>
                      </a:ln>
                    </wps:spPr>
                    <wps:txbx>
                      <w:txbxContent>
                        <w:p w14:paraId="2D1307EF" w14:textId="77777777" w:rsidR="00C12906" w:rsidRPr="00824EC5" w:rsidRDefault="00C12906" w:rsidP="00C12906">
                          <w:pPr>
                            <w:pStyle w:val="Fuzeile"/>
                            <w:jc w:val="right"/>
                            <w:rPr>
                              <w:b/>
                              <w:bCs/>
                            </w:rPr>
                          </w:pPr>
                          <w:r w:rsidRPr="00824EC5">
                            <w:t xml:space="preserve">Page </w:t>
                          </w:r>
                          <w:r w:rsidRPr="00824EC5">
                            <w:rPr>
                              <w:b/>
                              <w:bCs/>
                            </w:rPr>
                            <w:fldChar w:fldCharType="begin"/>
                          </w:r>
                          <w:r w:rsidRPr="00824EC5">
                            <w:rPr>
                              <w:b/>
                              <w:bCs/>
                            </w:rPr>
                            <w:instrText xml:space="preserve"> PAGE  \* Arabic  \* MERGEFORMAT </w:instrText>
                          </w:r>
                          <w:r w:rsidRPr="00824EC5">
                            <w:rPr>
                              <w:b/>
                              <w:bCs/>
                            </w:rPr>
                            <w:fldChar w:fldCharType="separate"/>
                          </w:r>
                          <w:r w:rsidRPr="00824EC5">
                            <w:rPr>
                              <w:b/>
                              <w:bCs/>
                            </w:rPr>
                            <w:t>2</w:t>
                          </w:r>
                          <w:r w:rsidRPr="00824EC5">
                            <w:rPr>
                              <w:b/>
                              <w:bCs/>
                            </w:rPr>
                            <w:fldChar w:fldCharType="end"/>
                          </w:r>
                          <w:r w:rsidRPr="00824EC5">
                            <w:t xml:space="preserve"> of </w:t>
                          </w:r>
                          <w:r w:rsidRPr="00824EC5">
                            <w:rPr>
                              <w:b/>
                              <w:bCs/>
                            </w:rPr>
                            <w:fldChar w:fldCharType="begin"/>
                          </w:r>
                          <w:r w:rsidRPr="00824EC5">
                            <w:rPr>
                              <w:b/>
                              <w:bCs/>
                            </w:rPr>
                            <w:instrText xml:space="preserve"> NUMPAGES  \* Arabic  \* MERGEFORMAT </w:instrText>
                          </w:r>
                          <w:r w:rsidRPr="00824EC5">
                            <w:rPr>
                              <w:b/>
                              <w:bCs/>
                            </w:rPr>
                            <w:fldChar w:fldCharType="separate"/>
                          </w:r>
                          <w:r w:rsidRPr="00824EC5">
                            <w:rPr>
                              <w:b/>
                              <w:bCs/>
                            </w:rPr>
                            <w:t>7</w:t>
                          </w:r>
                          <w:r w:rsidRPr="00824EC5">
                            <w:rPr>
                              <w:b/>
                              <w:bCs/>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3EDE16" id="_x0000_t202" coordsize="21600,21600" o:spt="202" path="m,l,21600r21600,l21600,xe">
              <v:stroke joinstyle="miter"/>
              <v:path gradientshapeok="t" o:connecttype="rect"/>
            </v:shapetype>
            <v:shape id="_x0000_s1028" type="#_x0000_t202" style="position:absolute;margin-left:12.15pt;margin-top:.35pt;width:63.35pt;height:12.6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" stroked="f">
              <v:textbox style="mso-fit-shape-to-text:t" inset="0,0,0,0">
                <w:txbxContent>
                  <w:p w14:paraId="2D1307EF" w14:textId="77777777" w:rsidR="00C12906" w:rsidRPr="00824EC5" w:rsidRDefault="00C12906" w:rsidP="00C12906">
                    <w:pPr>
                      <w:pStyle w:val="Fuzeile"/>
                      <w:jc w:val="right"/>
                      <w:rPr>
                        <w:b/>
                        <w:bCs/>
                      </w:rPr>
                    </w:pPr>
                    <w:r w:rsidRPr="00824EC5">
                      <w:t xml:space="preserve">Page </w:t>
                    </w:r>
                    <w:r w:rsidRPr="00824EC5">
                      <w:rPr>
                        <w:b/>
                        <w:bCs/>
                      </w:rPr>
                      <w:fldChar w:fldCharType="begin"/>
                    </w:r>
                    <w:r w:rsidRPr="00824EC5">
                      <w:rPr>
                        <w:b/>
                        <w:bCs/>
                      </w:rPr>
                      <w:instrText xml:space="preserve"> PAGE  \* Arabic  \* MERGEFORMAT </w:instrText>
                    </w:r>
                    <w:r w:rsidRPr="00824EC5">
                      <w:rPr>
                        <w:b/>
                        <w:bCs/>
                      </w:rPr>
                      <w:fldChar w:fldCharType="separate"/>
                    </w:r>
                    <w:r w:rsidRPr="00824EC5">
                      <w:rPr>
                        <w:b/>
                        <w:bCs/>
                      </w:rPr>
                      <w:t>2</w:t>
                    </w:r>
                    <w:r w:rsidRPr="00824EC5">
                      <w:rPr>
                        <w:b/>
                        <w:bCs/>
                      </w:rPr>
                      <w:fldChar w:fldCharType="end"/>
                    </w:r>
                    <w:r w:rsidRPr="00824EC5">
                      <w:t xml:space="preserve"> of </w:t>
                    </w:r>
                    <w:r w:rsidRPr="00824EC5">
                      <w:rPr>
                        <w:b/>
                        <w:bCs/>
                      </w:rPr>
                      <w:fldChar w:fldCharType="begin"/>
                    </w:r>
                    <w:r w:rsidRPr="00824EC5">
                      <w:rPr>
                        <w:b/>
                        <w:bCs/>
                      </w:rPr>
                      <w:instrText xml:space="preserve"> NUMPAGES  \* Arabic  \* MERGEFORMAT </w:instrText>
                    </w:r>
                    <w:r w:rsidRPr="00824EC5">
                      <w:rPr>
                        <w:b/>
                        <w:bCs/>
                      </w:rPr>
                      <w:fldChar w:fldCharType="separate"/>
                    </w:r>
                    <w:r w:rsidRPr="00824EC5">
                      <w:rPr>
                        <w:b/>
                        <w:bCs/>
                      </w:rPr>
                      <w:t>7</w:t>
                    </w:r>
                    <w:r w:rsidRPr="00824EC5">
                      <w:rPr>
                        <w:b/>
                        <w:bCs/>
                      </w:rPr>
                      <w:fldChar w:fldCharType="end"/>
                    </w:r>
                  </w:p>
                </w:txbxContent>
              </v:textbox>
              <w10:wrap type="square" anchorx="margin"/>
            </v:shape>
          </w:pict>
        </mc:Fallback>
      </mc:AlternateContent>
    </w:r>
    <w:r w:rsidR="001C5D50" w:rsidRPr="001C5D50">
      <w:rPr>
        <w:rFonts w:hint="eastAsia"/>
        <w:bCs/>
        <w:lang w:val="en-GB"/>
      </w:rPr>
      <w:t>©</w:t>
    </w:r>
    <w:r w:rsidR="001C5D50">
      <w:rPr>
        <w:bCs/>
        <w:lang w:val="en-GB"/>
      </w:rPr>
      <w:t xml:space="preserve"> 2023</w:t>
    </w:r>
    <w:r w:rsidR="001C5D50" w:rsidRPr="001C5D50">
      <w:rPr>
        <w:bCs/>
        <w:lang w:val="en-GB"/>
      </w:rPr>
      <w:t xml:space="preserve"> </w:t>
    </w:r>
    <w:sdt>
      <w:sdtPr>
        <w:rPr>
          <w:bCs/>
          <w:lang w:val="en-GB"/>
        </w:rPr>
        <w:alias w:val="Company"/>
        <w:tag w:val=""/>
        <w:id w:val="1613089459"/>
        <w:placeholder>
          <w:docPart w:val="B19383578EFC4EF19B5E89D9045C6666"/>
        </w:placeholder>
        <w:dataBinding w:prefixMappings="xmlns:ns0='http://schemas.openxmlformats.org/officeDocument/2006/extended-properties' " w:xpath="/ns0:Properties[1]/ns0:Company[1]" w:storeItemID="{6668398D-A668-4E3E-A5EB-62B293D839F1}"/>
        <w:text/>
      </w:sdtPr>
      <w:sdtContent>
        <w:r w:rsidR="001C17FF">
          <w:rPr>
            <w:bCs/>
            <w:lang w:val="en-GB"/>
          </w:rPr>
          <w:t>NTT DATA</w:t>
        </w:r>
        <w:r w:rsidR="00A769FC">
          <w:rPr>
            <w:bCs/>
            <w:lang w:val="en-GB"/>
          </w:rPr>
          <w:t xml:space="preserve"> Business Solutions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38E15" w14:textId="77777777" w:rsidR="003A2491" w:rsidRDefault="003A2491" w:rsidP="004F71FC">
      <w:r>
        <w:separator/>
      </w:r>
    </w:p>
    <w:p w14:paraId="620E6C41" w14:textId="77777777" w:rsidR="003A2491" w:rsidRDefault="003A2491"/>
  </w:footnote>
  <w:footnote w:type="continuationSeparator" w:id="0">
    <w:p w14:paraId="08E2003B" w14:textId="77777777" w:rsidR="003A2491" w:rsidRDefault="003A2491" w:rsidP="004F71FC">
      <w:r>
        <w:continuationSeparator/>
      </w:r>
    </w:p>
    <w:p w14:paraId="612F976C" w14:textId="77777777" w:rsidR="003A2491" w:rsidRDefault="003A2491"/>
  </w:footnote>
  <w:footnote w:type="continuationNotice" w:id="1">
    <w:p w14:paraId="5E7CB68E" w14:textId="77777777" w:rsidR="003A2491" w:rsidRDefault="003A24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Title"/>
      <w:tag w:val="Title"/>
      <w:id w:val="-1121457527"/>
      <w:lock w:val="sdtContentLocked"/>
      <w:placeholder>
        <w:docPart w:val="C4DE6199CD4A48C594EA8AA24B9CD05C"/>
      </w:placeholder>
    </w:sdtPr>
    <w:sdtContent>
      <w:p w14:paraId="56031730" w14:textId="4B678EF7" w:rsidR="00196899" w:rsidRPr="0013618C" w:rsidRDefault="00063F40" w:rsidP="00B35478">
        <w:pPr>
          <w:pStyle w:val="Kopfzeile"/>
          <w:tabs>
            <w:tab w:val="clear" w:pos="9026"/>
          </w:tabs>
          <w:rPr>
            <w:lang w:val="de-DE"/>
          </w:rPr>
        </w:pPr>
        <w:r w:rsidRPr="0085122C">
          <w:rPr>
            <w:noProof/>
          </w:rPr>
          <w:drawing>
            <wp:anchor distT="0" distB="0" distL="114300" distR="114300" simplePos="0" relativeHeight="251658240" behindDoc="0" locked="0" layoutInCell="1" allowOverlap="1" wp14:anchorId="54F2B2DE" wp14:editId="7DC4CD48">
              <wp:simplePos x="0" y="0"/>
              <wp:positionH relativeFrom="margin">
                <wp:align>right</wp:align>
              </wp:positionH>
              <wp:positionV relativeFrom="paragraph">
                <wp:posOffset>-635</wp:posOffset>
              </wp:positionV>
              <wp:extent cx="1223645" cy="249555"/>
              <wp:effectExtent l="0" t="0" r="0" b="0"/>
              <wp:wrapNone/>
              <wp:docPr id="701481139" name="Graphic 701481139">
                <a:extLst xmlns:a="http://schemas.openxmlformats.org/drawingml/2006/main">
                  <a:ext uri="{FF2B5EF4-FFF2-40B4-BE49-F238E27FC236}">
                    <a16:creationId xmlns:a16="http://schemas.microsoft.com/office/drawing/2014/main" id="{1DB40E02-E43E-21B5-7D2A-60B35F0977A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a:extLst>
                          <a:ext uri="{FF2B5EF4-FFF2-40B4-BE49-F238E27FC236}">
                            <a16:creationId xmlns:a16="http://schemas.microsoft.com/office/drawing/2014/main" id="{1DB40E02-E43E-21B5-7D2A-60B35F0977AE}"/>
                          </a:ex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3645" cy="249555"/>
                      </a:xfrm>
                      <a:prstGeom prst="rect">
                        <a:avLst/>
                      </a:prstGeom>
                    </pic:spPr>
                  </pic:pic>
                </a:graphicData>
              </a:graphic>
            </wp:anchor>
          </w:drawing>
        </w:r>
        <w:r w:rsidR="00B449AE">
          <w:rPr>
            <w:noProof/>
          </w:rPr>
          <w:fldChar w:fldCharType="begin"/>
        </w:r>
        <w:r w:rsidR="00B449AE">
          <w:rPr>
            <w:noProof/>
          </w:rPr>
          <w:instrText xml:space="preserve"> STYLEREF  Title  \* MERGEFORMAT </w:instrText>
        </w:r>
        <w:r w:rsidR="00B449AE">
          <w:rPr>
            <w:noProof/>
          </w:rPr>
          <w:fldChar w:fldCharType="separate"/>
        </w:r>
        <w:r w:rsidR="008818E1">
          <w:rPr>
            <w:b/>
            <w:bCs/>
            <w:noProof/>
            <w:lang w:val="de-DE"/>
          </w:rPr>
          <w:t>Fehler! Verwenden Sie die Registerkarte 'Start', um Title dem Text zuzuweisen, der hier angezeigt werden soll.</w:t>
        </w:r>
        <w:r w:rsidR="00B449AE">
          <w:rPr>
            <w:noProof/>
          </w:rPr>
          <w:fldChar w:fldCharType="end"/>
        </w:r>
      </w:p>
    </w:sdtContent>
  </w:sdt>
  <w:p w14:paraId="4F9D78B5" w14:textId="77777777" w:rsidR="004F71FC" w:rsidRPr="0013618C" w:rsidRDefault="004F71FC">
    <w:pPr>
      <w:pStyle w:val="Kopfzeile"/>
      <w:rPr>
        <w:lang w:val="de-DE"/>
      </w:rPr>
    </w:pPr>
  </w:p>
  <w:p w14:paraId="672CA3A6" w14:textId="77777777" w:rsidR="003D63E9" w:rsidRPr="0013618C" w:rsidRDefault="003D63E9">
    <w:pPr>
      <w:pStyle w:val="Kopfzeile"/>
      <w:rPr>
        <w:lang w:val="de-DE"/>
      </w:rPr>
    </w:pPr>
  </w:p>
  <w:p w14:paraId="368F06B9" w14:textId="77777777" w:rsidR="00FE77FD" w:rsidRPr="0013618C" w:rsidRDefault="00FE77FD" w:rsidP="00F6462C">
    <w:pPr>
      <w:pStyle w:val="Kopfzeile"/>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5B2D" w14:textId="77777777" w:rsidR="006C3ED2" w:rsidRDefault="0088676D" w:rsidP="00420B06">
    <w:pPr>
      <w:pStyle w:val="Kopfzeile"/>
    </w:pPr>
    <w:r>
      <w:rPr>
        <w:noProof/>
      </w:rPr>
      <w:drawing>
        <wp:anchor distT="0" distB="0" distL="114300" distR="114300" simplePos="0" relativeHeight="251658241" behindDoc="1" locked="0" layoutInCell="1" allowOverlap="1" wp14:anchorId="75C79AC2" wp14:editId="05890A3A">
          <wp:simplePos x="0" y="0"/>
          <wp:positionH relativeFrom="margin">
            <wp:align>left</wp:align>
          </wp:positionH>
          <wp:positionV relativeFrom="paragraph">
            <wp:posOffset>219710</wp:posOffset>
          </wp:positionV>
          <wp:extent cx="1823577" cy="396000"/>
          <wp:effectExtent l="0" t="0" r="5715" b="4445"/>
          <wp:wrapNone/>
          <wp:docPr id="589847318" name="Picture 589847318"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Description automatically generated"/>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823577" cy="39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2A79" w14:textId="66FEF030" w:rsidR="005675A2" w:rsidRDefault="005675A2" w:rsidP="00B35478">
    <w:pPr>
      <w:pStyle w:val="Kopfzeile"/>
      <w:tabs>
        <w:tab w:val="clear" w:pos="9026"/>
      </w:tabs>
    </w:pPr>
    <w:r w:rsidRPr="0085122C">
      <w:rPr>
        <w:noProof/>
      </w:rPr>
      <w:drawing>
        <wp:anchor distT="0" distB="0" distL="114300" distR="114300" simplePos="0" relativeHeight="251658243" behindDoc="0" locked="0" layoutInCell="1" allowOverlap="1" wp14:anchorId="755A0F62" wp14:editId="1B0D2B46">
          <wp:simplePos x="0" y="0"/>
          <wp:positionH relativeFrom="margin">
            <wp:align>right</wp:align>
          </wp:positionH>
          <wp:positionV relativeFrom="paragraph">
            <wp:posOffset>-635</wp:posOffset>
          </wp:positionV>
          <wp:extent cx="1223645" cy="249555"/>
          <wp:effectExtent l="0" t="0" r="0" b="0"/>
          <wp:wrapNone/>
          <wp:docPr id="2054829698" name="Graphic 2054829698">
            <a:extLst xmlns:a="http://schemas.openxmlformats.org/drawingml/2006/main">
              <a:ext uri="{FF2B5EF4-FFF2-40B4-BE49-F238E27FC236}">
                <a16:creationId xmlns:a16="http://schemas.microsoft.com/office/drawing/2014/main" id="{1DB40E02-E43E-21B5-7D2A-60B35F0977A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a:extLst>
                      <a:ext uri="{FF2B5EF4-FFF2-40B4-BE49-F238E27FC236}">
                        <a16:creationId xmlns:a16="http://schemas.microsoft.com/office/drawing/2014/main" id="{1DB40E02-E43E-21B5-7D2A-60B35F0977AE}"/>
                      </a:ex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3645" cy="249555"/>
                  </a:xfrm>
                  <a:prstGeom prst="rect">
                    <a:avLst/>
                  </a:prstGeom>
                </pic:spPr>
              </pic:pic>
            </a:graphicData>
          </a:graphic>
        </wp:anchor>
      </w:drawing>
    </w:r>
    <w:r w:rsidR="000E36F2">
      <w:rPr>
        <w:noProof/>
      </w:rPr>
      <w:fldChar w:fldCharType="begin"/>
    </w:r>
    <w:r w:rsidR="000E36F2">
      <w:rPr>
        <w:noProof/>
      </w:rPr>
      <w:instrText xml:space="preserve"> STYLEREF  "Doc Title"  \* MERGEFORMAT </w:instrText>
    </w:r>
    <w:r w:rsidR="000E36F2">
      <w:rPr>
        <w:noProof/>
      </w:rPr>
      <w:fldChar w:fldCharType="separate"/>
    </w:r>
    <w:r w:rsidR="004A432C">
      <w:rPr>
        <w:noProof/>
      </w:rPr>
      <w:t>Synchronization of Provider, Applications &amp; Interface Requests via SAP LeanIX and SAP Integration Suite</w:t>
    </w:r>
    <w:r w:rsidR="000E36F2">
      <w:rPr>
        <w:noProof/>
      </w:rPr>
      <w:fldChar w:fldCharType="end"/>
    </w:r>
    <w:r w:rsidR="000E36F2">
      <w:rPr>
        <w:noProof/>
      </w:rPr>
      <w:tab/>
    </w:r>
    <w:sdt>
      <w:sdtPr>
        <w:rPr>
          <w:rStyle w:val="ClassificationChar"/>
          <w:sz w:val="16"/>
        </w:rPr>
        <w:alias w:val="Classification"/>
        <w:tag w:val="Classification"/>
        <w:id w:val="1699049624"/>
        <w:placeholder>
          <w:docPart w:val="37FC39F99D524191A441CE3E46DCAB48"/>
        </w:placeholder>
        <w:dropDownList>
          <w:listItem w:displayText="PUBLIC" w:value="PUBLIC"/>
          <w:listItem w:displayText="RESTRICTED" w:value="RESTRICTED"/>
          <w:listItem w:displayText="CONFIDENTIAL" w:value="CONFIDENTIAL"/>
          <w:listItem w:displayText="SECRET" w:value="SECRET"/>
        </w:dropDownList>
      </w:sdtPr>
      <w:sdtContent>
        <w:r w:rsidR="000E36F2">
          <w:rPr>
            <w:rStyle w:val="ClassificationChar"/>
            <w:sz w:val="16"/>
          </w:rPr>
          <w:t>PUBLIC</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B123" w14:textId="7244B7B3" w:rsidR="005675A2" w:rsidRPr="00F72BF4" w:rsidRDefault="00306407" w:rsidP="000E36F2">
    <w:pPr>
      <w:pStyle w:val="Kopfzeile"/>
      <w:tabs>
        <w:tab w:val="clear" w:pos="9026"/>
      </w:tabs>
    </w:pPr>
    <w:r w:rsidRPr="0085122C">
      <w:rPr>
        <w:noProof/>
      </w:rPr>
      <w:drawing>
        <wp:anchor distT="0" distB="0" distL="114300" distR="114300" simplePos="0" relativeHeight="251660294" behindDoc="0" locked="0" layoutInCell="1" allowOverlap="1" wp14:anchorId="6D194089" wp14:editId="7CCDABA5">
          <wp:simplePos x="0" y="0"/>
          <wp:positionH relativeFrom="margin">
            <wp:align>right</wp:align>
          </wp:positionH>
          <wp:positionV relativeFrom="paragraph">
            <wp:posOffset>-635</wp:posOffset>
          </wp:positionV>
          <wp:extent cx="1223645" cy="249555"/>
          <wp:effectExtent l="0" t="0" r="0" b="0"/>
          <wp:wrapNone/>
          <wp:docPr id="1814195643" name="Graphic 1814195643">
            <a:extLst xmlns:a="http://schemas.openxmlformats.org/drawingml/2006/main">
              <a:ext uri="{FF2B5EF4-FFF2-40B4-BE49-F238E27FC236}">
                <a16:creationId xmlns:a16="http://schemas.microsoft.com/office/drawing/2014/main" id="{1DB40E02-E43E-21B5-7D2A-60B35F0977A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a:extLst>
                      <a:ext uri="{FF2B5EF4-FFF2-40B4-BE49-F238E27FC236}">
                        <a16:creationId xmlns:a16="http://schemas.microsoft.com/office/drawing/2014/main" id="{1DB40E02-E43E-21B5-7D2A-60B35F0977AE}"/>
                      </a:ex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3645" cy="249555"/>
                  </a:xfrm>
                  <a:prstGeom prst="rect">
                    <a:avLst/>
                  </a:prstGeom>
                </pic:spPr>
              </pic:pic>
            </a:graphicData>
          </a:graphic>
        </wp:anchor>
      </w:drawing>
    </w:r>
    <w:r w:rsidR="00483546">
      <w:rPr>
        <w:noProof/>
      </w:rPr>
      <w:fldChar w:fldCharType="begin"/>
    </w:r>
    <w:r w:rsidR="00483546">
      <w:rPr>
        <w:noProof/>
      </w:rPr>
      <w:instrText xml:space="preserve"> STYLEREF  "Doc Title"  \* MERGEFORMAT </w:instrText>
    </w:r>
    <w:r w:rsidR="00483546">
      <w:rPr>
        <w:noProof/>
      </w:rPr>
      <w:fldChar w:fldCharType="separate"/>
    </w:r>
    <w:r w:rsidR="008818E1">
      <w:rPr>
        <w:noProof/>
      </w:rPr>
      <w:t>Synchronization of Provider &amp; Applications via SAP LeanIX and SAP Integration Suite</w:t>
    </w:r>
    <w:r w:rsidR="00483546">
      <w:rPr>
        <w:noProof/>
      </w:rPr>
      <w:fldChar w:fldCharType="end"/>
    </w:r>
    <w:r w:rsidR="000E36F2">
      <w:rPr>
        <w:noProof/>
      </w:rPr>
      <w:tab/>
    </w:r>
    <w:bookmarkStart w:id="10" w:name="x1"/>
    <w:sdt>
      <w:sdtPr>
        <w:rPr>
          <w:rStyle w:val="ClassificationChar"/>
          <w:sz w:val="16"/>
        </w:rPr>
        <w:alias w:val="Classification"/>
        <w:tag w:val="Classification"/>
        <w:id w:val="1396711568"/>
        <w:placeholder>
          <w:docPart w:val="FFAA5F9617F24E68AA20D50C3717AD93"/>
        </w:placeholder>
        <w:dropDownList>
          <w:listItem w:displayText="PUBLIC" w:value="PUBLIC"/>
          <w:listItem w:displayText="RESTRICTED" w:value="RESTRICTED"/>
          <w:listItem w:displayText="CONFIDENTIAL" w:value="CONFIDENTIAL"/>
          <w:listItem w:displayText="SECRET" w:value="SECRET"/>
        </w:dropDownList>
      </w:sdtPr>
      <w:sdtContent>
        <w:r w:rsidR="000E36F2" w:rsidRPr="0022254A">
          <w:rPr>
            <w:rStyle w:val="ClassificationChar"/>
            <w:sz w:val="16"/>
          </w:rPr>
          <w:t>PUBLIC</w:t>
        </w:r>
      </w:sdtContent>
    </w:sdt>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5906"/>
    <w:multiLevelType w:val="multilevel"/>
    <w:tmpl w:val="C6FAF8C8"/>
    <w:styleLink w:val="NTTHeadingsList"/>
    <w:lvl w:ilvl="0">
      <w:start w:val="1"/>
      <w:numFmt w:val="decimal"/>
      <w:lvlText w:val="%1."/>
      <w:lvlJc w:val="left"/>
      <w:pPr>
        <w:tabs>
          <w:tab w:val="num" w:pos="850"/>
        </w:tabs>
        <w:ind w:left="850" w:hanging="850"/>
      </w:pPr>
      <w:rPr>
        <w:rFonts w:ascii="Arial Bold" w:hAnsi="Arial Bold" w:cs="Arial" w:hint="default"/>
        <w:b/>
        <w:i w:val="0"/>
        <w:caps w:val="0"/>
        <w:strike w:val="0"/>
        <w:dstrike w:val="0"/>
        <w:vanish w:val="0"/>
        <w:color w:val="0072BC"/>
        <w:spacing w:val="10"/>
        <w:kern w:val="32"/>
        <w:sz w:val="32"/>
        <w:u w:val="none"/>
        <w:effect w:val="none"/>
        <w:vertAlign w:val="baseline"/>
      </w:rPr>
    </w:lvl>
    <w:lvl w:ilvl="1">
      <w:start w:val="1"/>
      <w:numFmt w:val="decimal"/>
      <w:lvlText w:val="%1.%2."/>
      <w:lvlJc w:val="left"/>
      <w:pPr>
        <w:tabs>
          <w:tab w:val="num" w:pos="850"/>
        </w:tabs>
        <w:ind w:left="850" w:hanging="850"/>
      </w:pPr>
      <w:rPr>
        <w:rFonts w:ascii="Arial Bold" w:hAnsi="Arial Bold" w:cs="Arial" w:hint="default"/>
        <w:b/>
        <w:i w:val="0"/>
        <w:caps w:val="0"/>
        <w:strike w:val="0"/>
        <w:dstrike w:val="0"/>
        <w:vanish w:val="0"/>
        <w:color w:val="0072BC"/>
        <w:spacing w:val="10"/>
        <w:sz w:val="24"/>
        <w:u w:val="none"/>
        <w:effect w:val="none"/>
        <w:vertAlign w:val="baseline"/>
      </w:rPr>
    </w:lvl>
    <w:lvl w:ilvl="2">
      <w:start w:val="1"/>
      <w:numFmt w:val="decimal"/>
      <w:lvlText w:val="%1.%2.%3"/>
      <w:lvlJc w:val="left"/>
      <w:pPr>
        <w:tabs>
          <w:tab w:val="num" w:pos="850"/>
        </w:tabs>
        <w:ind w:left="850" w:hanging="850"/>
      </w:pPr>
      <w:rPr>
        <w:rFonts w:ascii="Arial Bold" w:hAnsi="Arial Bold" w:cs="Arial" w:hint="default"/>
        <w:b/>
        <w:i w:val="0"/>
        <w:caps w:val="0"/>
        <w:strike w:val="0"/>
        <w:dstrike w:val="0"/>
        <w:vanish w:val="0"/>
        <w:color w:val="000000"/>
        <w:spacing w:val="10"/>
        <w:sz w:val="22"/>
        <w:u w:val="none"/>
        <w:effect w:val="none"/>
        <w:vertAlign w:val="baseline"/>
      </w:rPr>
    </w:lvl>
    <w:lvl w:ilvl="3">
      <w:start w:val="1"/>
      <w:numFmt w:val="decimal"/>
      <w:lvlText w:val="%1.%2.%3.%4"/>
      <w:lvlJc w:val="left"/>
      <w:pPr>
        <w:tabs>
          <w:tab w:val="num" w:pos="850"/>
        </w:tabs>
        <w:ind w:left="850" w:hanging="850"/>
      </w:pPr>
      <w:rPr>
        <w:rFonts w:ascii="Arial Bold" w:hAnsi="Arial Bold" w:cs="Arial" w:hint="default"/>
        <w:b/>
        <w:i w:val="0"/>
        <w:caps w:val="0"/>
        <w:strike w:val="0"/>
        <w:dstrike w:val="0"/>
        <w:vanish w:val="0"/>
        <w:color w:val="000000"/>
        <w:spacing w:val="10"/>
        <w:sz w:val="20"/>
        <w:u w:val="none"/>
        <w:effect w:val="none"/>
        <w:vertAlign w:val="baseline"/>
      </w:rPr>
    </w:lvl>
    <w:lvl w:ilvl="4">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0"/>
        <w:u w:val="none"/>
        <w:effect w:val="none"/>
        <w:vertAlign w:val="baseline"/>
      </w:rPr>
    </w:lvl>
    <w:lvl w:ilvl="5">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8"/>
        <w:u w:val="none"/>
        <w:effect w:val="none"/>
        <w:vertAlign w:val="baseline"/>
      </w:rPr>
    </w:lvl>
    <w:lvl w:ilvl="6">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4"/>
        <w:u w:val="none"/>
        <w:effect w:val="none"/>
        <w:vertAlign w:val="baseline"/>
      </w:rPr>
    </w:lvl>
    <w:lvl w:ilvl="7">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2"/>
        <w:u w:val="none"/>
        <w:effect w:val="none"/>
        <w:vertAlign w:val="baseline"/>
      </w:rPr>
    </w:lvl>
    <w:lvl w:ilvl="8">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0"/>
        <w:u w:val="none"/>
        <w:effect w:val="none"/>
        <w:vertAlign w:val="baseline"/>
      </w:rPr>
    </w:lvl>
  </w:abstractNum>
  <w:abstractNum w:abstractNumId="1" w15:restartNumberingAfterBreak="0">
    <w:nsid w:val="070D2863"/>
    <w:multiLevelType w:val="hybridMultilevel"/>
    <w:tmpl w:val="B0C4DE16"/>
    <w:lvl w:ilvl="0" w:tplc="856A9918">
      <w:start w:val="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584937"/>
    <w:multiLevelType w:val="multilevel"/>
    <w:tmpl w:val="169263BC"/>
    <w:styleLink w:val="NTTDATABulletList"/>
    <w:lvl w:ilvl="0">
      <w:start w:val="1"/>
      <w:numFmt w:val="bullet"/>
      <w:pStyle w:val="NTTDATABullet1"/>
      <w:lvlText w:val="●"/>
      <w:lvlJc w:val="left"/>
      <w:pPr>
        <w:tabs>
          <w:tab w:val="num" w:pos="1134"/>
        </w:tabs>
        <w:ind w:left="1134" w:hanging="283"/>
      </w:pPr>
      <w:rPr>
        <w:rFonts w:ascii="Arial" w:hAnsi="Arial" w:hint="default"/>
        <w:b w:val="0"/>
        <w:i w:val="0"/>
        <w:color w:val="000000"/>
        <w:spacing w:val="8"/>
        <w:kern w:val="20"/>
        <w:sz w:val="20"/>
      </w:rPr>
    </w:lvl>
    <w:lvl w:ilvl="1">
      <w:start w:val="1"/>
      <w:numFmt w:val="bullet"/>
      <w:pStyle w:val="NTTDATABullet2"/>
      <w:lvlText w:val="○"/>
      <w:lvlJc w:val="left"/>
      <w:pPr>
        <w:tabs>
          <w:tab w:val="num" w:pos="1418"/>
        </w:tabs>
        <w:ind w:left="1418" w:hanging="284"/>
      </w:pPr>
      <w:rPr>
        <w:rFonts w:ascii="Times New Roman" w:hAnsi="Times New Roman" w:cs="Times New Roman" w:hint="default"/>
        <w:b w:val="0"/>
        <w:i w:val="0"/>
        <w:color w:val="000000"/>
        <w:sz w:val="20"/>
      </w:rPr>
    </w:lvl>
    <w:lvl w:ilvl="2">
      <w:start w:val="1"/>
      <w:numFmt w:val="bullet"/>
      <w:pStyle w:val="NTTDATABullet3"/>
      <w:lvlText w:val="-"/>
      <w:lvlJc w:val="left"/>
      <w:pPr>
        <w:tabs>
          <w:tab w:val="num" w:pos="1701"/>
        </w:tabs>
        <w:ind w:left="1701" w:hanging="283"/>
      </w:pPr>
      <w:rPr>
        <w:rFonts w:ascii="Times New Roman" w:hAnsi="Times New Roman" w:cs="Times New Roman" w:hint="default"/>
        <w:b/>
        <w:i w:val="0"/>
        <w:color w:val="000000"/>
        <w:sz w:val="20"/>
      </w:rPr>
    </w:lvl>
    <w:lvl w:ilvl="3">
      <w:start w:val="1"/>
      <w:numFmt w:val="decimal"/>
      <w:pStyle w:val="NTTDATABullet4"/>
      <w:lvlText w:val="%4."/>
      <w:lvlJc w:val="left"/>
      <w:pPr>
        <w:tabs>
          <w:tab w:val="num" w:pos="1418"/>
        </w:tabs>
        <w:ind w:left="1418" w:hanging="567"/>
      </w:pPr>
      <w:rPr>
        <w:rFonts w:ascii="Arial" w:hAnsi="Arial" w:hint="default"/>
        <w:b w:val="0"/>
        <w:i w:val="0"/>
        <w:color w:val="000000"/>
        <w:spacing w:val="0"/>
        <w:sz w:val="20"/>
        <w:szCs w:val="20"/>
      </w:rPr>
    </w:lvl>
    <w:lvl w:ilvl="4">
      <w:start w:val="1"/>
      <w:numFmt w:val="decimal"/>
      <w:pStyle w:val="NTTDATABullet5"/>
      <w:lvlText w:val="%4.%5."/>
      <w:lvlJc w:val="left"/>
      <w:pPr>
        <w:tabs>
          <w:tab w:val="num" w:pos="1418"/>
        </w:tabs>
        <w:ind w:left="1418" w:hanging="567"/>
      </w:pPr>
      <w:rPr>
        <w:rFonts w:ascii="Arial" w:hAnsi="Arial" w:hint="default"/>
        <w:b w:val="0"/>
        <w:i w:val="0"/>
        <w:color w:val="000000"/>
        <w:spacing w:val="0"/>
        <w:sz w:val="20"/>
        <w:szCs w:val="20"/>
      </w:rPr>
    </w:lvl>
    <w:lvl w:ilvl="5">
      <w:start w:val="1"/>
      <w:numFmt w:val="decimal"/>
      <w:pStyle w:val="NTTDATABullet6"/>
      <w:lvlText w:val="%4.%5.%6."/>
      <w:lvlJc w:val="left"/>
      <w:pPr>
        <w:tabs>
          <w:tab w:val="num" w:pos="1418"/>
        </w:tabs>
        <w:ind w:left="1418" w:hanging="567"/>
      </w:pPr>
      <w:rPr>
        <w:rFonts w:ascii="Arial" w:hAnsi="Arial" w:hint="default"/>
        <w:b w:val="0"/>
        <w:i w:val="0"/>
        <w:color w:val="000000"/>
        <w:spacing w:val="0"/>
        <w:sz w:val="20"/>
        <w:szCs w:val="20"/>
      </w:rPr>
    </w:lvl>
    <w:lvl w:ilvl="6">
      <w:start w:val="1"/>
      <w:numFmt w:val="decimal"/>
      <w:pStyle w:val="NTTDATABullet7"/>
      <w:lvlText w:val="%7."/>
      <w:lvlJc w:val="left"/>
      <w:pPr>
        <w:tabs>
          <w:tab w:val="num" w:pos="1418"/>
        </w:tabs>
        <w:ind w:left="1418" w:hanging="567"/>
      </w:pPr>
      <w:rPr>
        <w:rFonts w:ascii="Arial" w:hAnsi="Arial" w:hint="default"/>
        <w:b w:val="0"/>
        <w:i w:val="0"/>
        <w:color w:val="000000"/>
        <w:sz w:val="20"/>
        <w:szCs w:val="20"/>
      </w:rPr>
    </w:lvl>
    <w:lvl w:ilvl="7">
      <w:start w:val="1"/>
      <w:numFmt w:val="lowerLetter"/>
      <w:pStyle w:val="NTTDATABullet8"/>
      <w:lvlText w:val="%8."/>
      <w:lvlJc w:val="left"/>
      <w:pPr>
        <w:tabs>
          <w:tab w:val="num" w:pos="1985"/>
        </w:tabs>
        <w:ind w:left="1985" w:hanging="567"/>
      </w:pPr>
      <w:rPr>
        <w:rFonts w:ascii="Arial" w:hAnsi="Arial" w:hint="default"/>
        <w:b w:val="0"/>
        <w:i w:val="0"/>
        <w:color w:val="000000"/>
        <w:sz w:val="20"/>
        <w:szCs w:val="20"/>
      </w:rPr>
    </w:lvl>
    <w:lvl w:ilvl="8">
      <w:start w:val="1"/>
      <w:numFmt w:val="lowerRoman"/>
      <w:pStyle w:val="NTTDATABullet9"/>
      <w:lvlText w:val="%9."/>
      <w:lvlJc w:val="left"/>
      <w:pPr>
        <w:tabs>
          <w:tab w:val="num" w:pos="2552"/>
        </w:tabs>
        <w:ind w:left="2552" w:hanging="567"/>
      </w:pPr>
      <w:rPr>
        <w:rFonts w:ascii="Arial" w:hAnsi="Arial" w:hint="default"/>
        <w:b w:val="0"/>
        <w:i w:val="0"/>
        <w:color w:val="000000"/>
        <w:sz w:val="20"/>
        <w:szCs w:val="20"/>
      </w:rPr>
    </w:lvl>
  </w:abstractNum>
  <w:abstractNum w:abstractNumId="3" w15:restartNumberingAfterBreak="0">
    <w:nsid w:val="0AD12B3D"/>
    <w:multiLevelType w:val="multilevel"/>
    <w:tmpl w:val="A32C6D2A"/>
    <w:lvl w:ilvl="0">
      <w:start w:val="1"/>
      <w:numFmt w:val="bullet"/>
      <w:lvlText w:val="●"/>
      <w:lvlJc w:val="left"/>
      <w:pPr>
        <w:ind w:left="284" w:hanging="284"/>
      </w:pPr>
      <w:rPr>
        <w:rFonts w:ascii="Arial Bold" w:hAnsi="Arial Bold" w:hint="default"/>
        <w:b/>
        <w:i w:val="0"/>
        <w:color w:val="0072BC"/>
        <w:sz w:val="18"/>
      </w:rPr>
    </w:lvl>
    <w:lvl w:ilvl="1">
      <w:start w:val="1"/>
      <w:numFmt w:val="bullet"/>
      <w:lvlText w:val="●"/>
      <w:lvlJc w:val="left"/>
      <w:pPr>
        <w:ind w:left="284" w:hanging="284"/>
      </w:pPr>
      <w:rPr>
        <w:rFonts w:ascii="Arial" w:hAnsi="Arial" w:hint="default"/>
        <w:color w:val="000000"/>
      </w:rPr>
    </w:lvl>
    <w:lvl w:ilvl="2">
      <w:start w:val="1"/>
      <w:numFmt w:val="bullet"/>
      <w:lvlText w:val="●"/>
      <w:lvlJc w:val="left"/>
      <w:pPr>
        <w:ind w:left="284" w:hanging="284"/>
      </w:pPr>
      <w:rPr>
        <w:rFonts w:ascii="Arial" w:hAnsi="Arial" w:hint="default"/>
        <w:color w:val="E42600"/>
      </w:rPr>
    </w:lvl>
    <w:lvl w:ilvl="3">
      <w:start w:val="1"/>
      <w:numFmt w:val="bullet"/>
      <w:pStyle w:val="NTTDATATableBoldBullet"/>
      <w:lvlText w:val="●"/>
      <w:lvlJc w:val="left"/>
      <w:pPr>
        <w:ind w:left="284" w:hanging="284"/>
      </w:pPr>
      <w:rPr>
        <w:rFonts w:ascii="Arial" w:hAnsi="Arial" w:hint="default"/>
        <w:color w:val="FFFFFF" w:themeColor="text1"/>
      </w:rPr>
    </w:lvl>
    <w:lvl w:ilvl="4">
      <w:start w:val="1"/>
      <w:numFmt w:val="bullet"/>
      <w:lvlText w:val="●"/>
      <w:lvlJc w:val="left"/>
      <w:pPr>
        <w:ind w:left="284" w:hanging="284"/>
      </w:pPr>
      <w:rPr>
        <w:rFonts w:ascii="Arial" w:hAnsi="Arial" w:hint="default"/>
        <w:color w:val="000000"/>
      </w:rPr>
    </w:lvl>
    <w:lvl w:ilvl="5">
      <w:start w:val="1"/>
      <w:numFmt w:val="bullet"/>
      <w:lvlText w:val="●"/>
      <w:lvlJc w:val="left"/>
      <w:pPr>
        <w:ind w:left="284" w:hanging="284"/>
      </w:pPr>
      <w:rPr>
        <w:rFonts w:ascii="Arial" w:hAnsi="Arial" w:hint="default"/>
        <w:color w:val="000000"/>
      </w:rPr>
    </w:lvl>
    <w:lvl w:ilvl="6">
      <w:start w:val="1"/>
      <w:numFmt w:val="bullet"/>
      <w:lvlText w:val="●"/>
      <w:lvlJc w:val="left"/>
      <w:pPr>
        <w:ind w:left="284" w:hanging="284"/>
      </w:pPr>
      <w:rPr>
        <w:rFonts w:ascii="Arial" w:hAnsi="Arial" w:hint="default"/>
        <w:color w:val="000000"/>
      </w:rPr>
    </w:lvl>
    <w:lvl w:ilvl="7">
      <w:start w:val="1"/>
      <w:numFmt w:val="bullet"/>
      <w:lvlText w:val="●"/>
      <w:lvlJc w:val="left"/>
      <w:pPr>
        <w:ind w:left="284" w:hanging="284"/>
      </w:pPr>
      <w:rPr>
        <w:rFonts w:ascii="Arial" w:hAnsi="Arial" w:hint="default"/>
        <w:color w:val="000000"/>
      </w:rPr>
    </w:lvl>
    <w:lvl w:ilvl="8">
      <w:start w:val="1"/>
      <w:numFmt w:val="bullet"/>
      <w:lvlText w:val="●"/>
      <w:lvlJc w:val="left"/>
      <w:pPr>
        <w:ind w:left="284" w:hanging="284"/>
      </w:pPr>
      <w:rPr>
        <w:rFonts w:ascii="Arial" w:hAnsi="Arial" w:hint="default"/>
        <w:color w:val="000000"/>
      </w:rPr>
    </w:lvl>
  </w:abstractNum>
  <w:abstractNum w:abstractNumId="4" w15:restartNumberingAfterBreak="0">
    <w:nsid w:val="170B429E"/>
    <w:multiLevelType w:val="multilevel"/>
    <w:tmpl w:val="F664EC86"/>
    <w:styleLink w:val="NTTDATAAppendixList"/>
    <w:lvl w:ilvl="0">
      <w:start w:val="1"/>
      <w:numFmt w:val="upperLetter"/>
      <w:lvlText w:val="Appendix %1"/>
      <w:lvlJc w:val="left"/>
      <w:pPr>
        <w:ind w:left="360" w:hanging="360"/>
      </w:pPr>
      <w:rPr>
        <w:rFonts w:ascii="Georgia" w:hAnsi="Georgia" w:cs="Arial" w:hint="default"/>
        <w:color w:val="00DFED" w:themeColor="accent2"/>
        <w:kern w:val="20"/>
      </w:rPr>
    </w:lvl>
    <w:lvl w:ilvl="1">
      <w:start w:val="1"/>
      <w:numFmt w:val="decimal"/>
      <w:lvlText w:val="Appendix %1.%2"/>
      <w:lvlJc w:val="left"/>
      <w:pPr>
        <w:ind w:left="0" w:firstLine="0"/>
      </w:pPr>
      <w:rPr>
        <w:rFonts w:ascii="Arial" w:hAnsi="Arial" w:hint="default"/>
        <w:color w:val="FFFFFF" w:themeColor="text1"/>
      </w:rPr>
    </w:lvl>
    <w:lvl w:ilvl="2">
      <w:start w:val="1"/>
      <w:numFmt w:val="decimal"/>
      <w:lvlText w:val="Appendix %1.%2.%3"/>
      <w:lvlJc w:val="left"/>
      <w:pPr>
        <w:ind w:left="0" w:firstLine="0"/>
      </w:pPr>
      <w:rPr>
        <w:rFonts w:ascii="Arial" w:hAnsi="Arial" w:hint="default"/>
        <w:color w:val="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F0C59F8"/>
    <w:multiLevelType w:val="multilevel"/>
    <w:tmpl w:val="771046AA"/>
    <w:lvl w:ilvl="0">
      <w:numFmt w:val="decimal"/>
      <w:pStyle w:val="NTTDATATableBullet1"/>
      <w:lvlText w:val=""/>
      <w:lvlJc w:val="left"/>
    </w:lvl>
    <w:lvl w:ilvl="1">
      <w:numFmt w:val="decimal"/>
      <w:lvlText w:val=""/>
      <w:lvlJc w:val="left"/>
    </w:lvl>
    <w:lvl w:ilvl="2">
      <w:numFmt w:val="decimal"/>
      <w:lvlText w:val=""/>
      <w:lvlJc w:val="left"/>
    </w:lvl>
    <w:lvl w:ilvl="3">
      <w:numFmt w:val="decimal"/>
      <w:pStyle w:val="NTTDATATableBullet4"/>
      <w:lvlText w:val=""/>
      <w:lvlJc w:val="left"/>
    </w:lvl>
    <w:lvl w:ilvl="4">
      <w:numFmt w:val="decimal"/>
      <w:pStyle w:val="NTTDATATableBullet5"/>
      <w:lvlText w:val=""/>
      <w:lvlJc w:val="left"/>
    </w:lvl>
    <w:lvl w:ilvl="5">
      <w:numFmt w:val="decimal"/>
      <w:pStyle w:val="NTTDATATableBullet6"/>
      <w:lvlText w:val=""/>
      <w:lvlJc w:val="left"/>
    </w:lvl>
    <w:lvl w:ilvl="6">
      <w:numFmt w:val="decimal"/>
      <w:pStyle w:val="NTTDATATableBullet7"/>
      <w:lvlText w:val=""/>
      <w:lvlJc w:val="left"/>
    </w:lvl>
    <w:lvl w:ilvl="7">
      <w:numFmt w:val="decimal"/>
      <w:lvlText w:val=""/>
      <w:lvlJc w:val="left"/>
    </w:lvl>
    <w:lvl w:ilvl="8">
      <w:numFmt w:val="decimal"/>
      <w:lvlText w:val=""/>
      <w:lvlJc w:val="left"/>
    </w:lvl>
  </w:abstractNum>
  <w:abstractNum w:abstractNumId="6" w15:restartNumberingAfterBreak="0">
    <w:nsid w:val="253F0AD1"/>
    <w:multiLevelType w:val="hybridMultilevel"/>
    <w:tmpl w:val="6098FC2E"/>
    <w:lvl w:ilvl="0" w:tplc="FFFFFFFF">
      <w:start w:val="1"/>
      <w:numFmt w:val="lowerLetter"/>
      <w:lvlText w:val="%1)"/>
      <w:lvlJc w:val="left"/>
      <w:pPr>
        <w:ind w:left="720" w:hanging="360"/>
      </w:pPr>
      <w:rPr>
        <w:rFonts w:asciiTheme="minorHAnsi" w:eastAsiaTheme="minorEastAsia" w:hAnsiTheme="minorHAnsi" w:cstheme="minorBidi"/>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7D2AE3"/>
    <w:multiLevelType w:val="multilevel"/>
    <w:tmpl w:val="39107888"/>
    <w:styleLink w:val="NTTBlueBulletList"/>
    <w:lvl w:ilvl="0">
      <w:start w:val="1"/>
      <w:numFmt w:val="bullet"/>
      <w:lvlText w:val="●"/>
      <w:lvlJc w:val="left"/>
      <w:pPr>
        <w:tabs>
          <w:tab w:val="num" w:pos="1134"/>
        </w:tabs>
        <w:ind w:left="1134" w:hanging="283"/>
      </w:pPr>
      <w:rPr>
        <w:rFonts w:ascii="Arial" w:hAnsi="Arial" w:hint="default"/>
        <w:b w:val="0"/>
        <w:i w:val="0"/>
        <w:color w:val="0072BC"/>
        <w:spacing w:val="8"/>
        <w:kern w:val="20"/>
        <w:sz w:val="20"/>
      </w:rPr>
    </w:lvl>
    <w:lvl w:ilvl="1">
      <w:start w:val="1"/>
      <w:numFmt w:val="bullet"/>
      <w:lvlText w:val="○"/>
      <w:lvlJc w:val="left"/>
      <w:pPr>
        <w:tabs>
          <w:tab w:val="num" w:pos="1418"/>
        </w:tabs>
        <w:ind w:left="1418" w:hanging="284"/>
      </w:pPr>
      <w:rPr>
        <w:rFonts w:ascii="Arial" w:hAnsi="Arial" w:cs="Times New Roman" w:hint="default"/>
        <w:b w:val="0"/>
        <w:i w:val="0"/>
        <w:color w:val="0072BC"/>
        <w:sz w:val="20"/>
      </w:rPr>
    </w:lvl>
    <w:lvl w:ilvl="2">
      <w:start w:val="1"/>
      <w:numFmt w:val="bullet"/>
      <w:lvlText w:val="-"/>
      <w:lvlJc w:val="left"/>
      <w:pPr>
        <w:tabs>
          <w:tab w:val="num" w:pos="1701"/>
        </w:tabs>
        <w:ind w:left="1701" w:hanging="283"/>
      </w:pPr>
      <w:rPr>
        <w:rFonts w:ascii="Arial Bold" w:hAnsi="Arial Bold" w:cs="Times New Roman" w:hint="default"/>
        <w:b/>
        <w:i w:val="0"/>
        <w:color w:val="0072BC"/>
        <w:sz w:val="20"/>
      </w:rPr>
    </w:lvl>
    <w:lvl w:ilvl="3">
      <w:start w:val="1"/>
      <w:numFmt w:val="decimal"/>
      <w:lvlText w:val="%4."/>
      <w:lvlJc w:val="left"/>
      <w:pPr>
        <w:tabs>
          <w:tab w:val="num" w:pos="1418"/>
        </w:tabs>
        <w:ind w:left="1418" w:hanging="567"/>
      </w:pPr>
      <w:rPr>
        <w:rFonts w:ascii="Arial" w:hAnsi="Arial" w:hint="default"/>
        <w:b w:val="0"/>
        <w:i w:val="0"/>
        <w:color w:val="0072BC"/>
        <w:spacing w:val="0"/>
        <w:sz w:val="20"/>
        <w:szCs w:val="20"/>
      </w:rPr>
    </w:lvl>
    <w:lvl w:ilvl="4">
      <w:start w:val="1"/>
      <w:numFmt w:val="decimal"/>
      <w:lvlText w:val="%4.%5."/>
      <w:lvlJc w:val="left"/>
      <w:pPr>
        <w:tabs>
          <w:tab w:val="num" w:pos="1418"/>
        </w:tabs>
        <w:ind w:left="1418" w:hanging="567"/>
      </w:pPr>
      <w:rPr>
        <w:rFonts w:ascii="Arial" w:hAnsi="Arial" w:hint="default"/>
        <w:b w:val="0"/>
        <w:i w:val="0"/>
        <w:color w:val="0072BC"/>
        <w:spacing w:val="0"/>
        <w:sz w:val="20"/>
        <w:szCs w:val="20"/>
      </w:rPr>
    </w:lvl>
    <w:lvl w:ilvl="5">
      <w:start w:val="1"/>
      <w:numFmt w:val="decimal"/>
      <w:lvlText w:val="%4.%5.%6."/>
      <w:lvlJc w:val="left"/>
      <w:pPr>
        <w:tabs>
          <w:tab w:val="num" w:pos="1418"/>
        </w:tabs>
        <w:ind w:left="1418" w:hanging="567"/>
      </w:pPr>
      <w:rPr>
        <w:rFonts w:ascii="Arial" w:hAnsi="Arial" w:hint="default"/>
        <w:b w:val="0"/>
        <w:i w:val="0"/>
        <w:color w:val="0072BC"/>
        <w:spacing w:val="0"/>
        <w:sz w:val="20"/>
        <w:szCs w:val="20"/>
      </w:rPr>
    </w:lvl>
    <w:lvl w:ilvl="6">
      <w:start w:val="1"/>
      <w:numFmt w:val="decimal"/>
      <w:lvlText w:val="%7."/>
      <w:lvlJc w:val="left"/>
      <w:pPr>
        <w:tabs>
          <w:tab w:val="num" w:pos="1418"/>
        </w:tabs>
        <w:ind w:left="1418" w:hanging="567"/>
      </w:pPr>
      <w:rPr>
        <w:rFonts w:ascii="Arial" w:hAnsi="Arial" w:hint="default"/>
        <w:b w:val="0"/>
        <w:i w:val="0"/>
        <w:color w:val="0072BC"/>
        <w:sz w:val="20"/>
        <w:szCs w:val="20"/>
      </w:rPr>
    </w:lvl>
    <w:lvl w:ilvl="7">
      <w:start w:val="1"/>
      <w:numFmt w:val="lowerLetter"/>
      <w:lvlText w:val="%8."/>
      <w:lvlJc w:val="left"/>
      <w:pPr>
        <w:tabs>
          <w:tab w:val="num" w:pos="1985"/>
        </w:tabs>
        <w:ind w:left="1985" w:hanging="567"/>
      </w:pPr>
      <w:rPr>
        <w:rFonts w:ascii="Arial" w:hAnsi="Arial" w:hint="default"/>
        <w:b w:val="0"/>
        <w:i w:val="0"/>
        <w:color w:val="0072BC"/>
        <w:sz w:val="20"/>
        <w:szCs w:val="20"/>
      </w:rPr>
    </w:lvl>
    <w:lvl w:ilvl="8">
      <w:start w:val="1"/>
      <w:numFmt w:val="lowerRoman"/>
      <w:lvlText w:val="%9."/>
      <w:lvlJc w:val="left"/>
      <w:pPr>
        <w:tabs>
          <w:tab w:val="num" w:pos="2552"/>
        </w:tabs>
        <w:ind w:left="2552" w:hanging="567"/>
      </w:pPr>
      <w:rPr>
        <w:rFonts w:ascii="Arial" w:hAnsi="Arial" w:hint="default"/>
        <w:b w:val="0"/>
        <w:i w:val="0"/>
        <w:color w:val="0072BC"/>
        <w:sz w:val="20"/>
        <w:szCs w:val="20"/>
      </w:rPr>
    </w:lvl>
  </w:abstractNum>
  <w:abstractNum w:abstractNumId="8" w15:restartNumberingAfterBreak="0">
    <w:nsid w:val="2AF81407"/>
    <w:multiLevelType w:val="multilevel"/>
    <w:tmpl w:val="6456C98A"/>
    <w:styleLink w:val="NTTDATAFlushBlueBulletList"/>
    <w:lvl w:ilvl="0">
      <w:start w:val="1"/>
      <w:numFmt w:val="bullet"/>
      <w:lvlText w:val="●"/>
      <w:lvlJc w:val="left"/>
      <w:pPr>
        <w:ind w:left="284" w:hanging="284"/>
      </w:pPr>
      <w:rPr>
        <w:rFonts w:ascii="Arial" w:hAnsi="Arial" w:hint="default"/>
        <w:b w:val="0"/>
        <w:i w:val="0"/>
        <w:color w:val="0072BC"/>
        <w:kern w:val="20"/>
        <w:sz w:val="20"/>
      </w:rPr>
    </w:lvl>
    <w:lvl w:ilvl="1">
      <w:start w:val="1"/>
      <w:numFmt w:val="bullet"/>
      <w:lvlText w:val="○"/>
      <w:lvlJc w:val="left"/>
      <w:pPr>
        <w:ind w:left="567" w:hanging="283"/>
      </w:pPr>
      <w:rPr>
        <w:rFonts w:ascii="Times New Roman" w:hAnsi="Times New Roman" w:cs="Times New Roman" w:hint="default"/>
        <w:color w:val="0072BC"/>
      </w:rPr>
    </w:lvl>
    <w:lvl w:ilvl="2">
      <w:start w:val="1"/>
      <w:numFmt w:val="bullet"/>
      <w:lvlText w:val="-"/>
      <w:lvlJc w:val="left"/>
      <w:pPr>
        <w:ind w:left="851" w:hanging="284"/>
      </w:pPr>
      <w:rPr>
        <w:rFonts w:ascii="Times New Roman" w:hAnsi="Times New Roman" w:cs="Times New Roman" w:hint="default"/>
        <w:color w:val="0072BC"/>
      </w:rPr>
    </w:lvl>
    <w:lvl w:ilvl="3">
      <w:start w:val="1"/>
      <w:numFmt w:val="decimal"/>
      <w:isLgl/>
      <w:lvlText w:val="%4."/>
      <w:lvlJc w:val="left"/>
      <w:pPr>
        <w:ind w:left="567" w:hanging="567"/>
      </w:pPr>
      <w:rPr>
        <w:rFonts w:hint="default"/>
        <w:color w:val="0072BC"/>
      </w:rPr>
    </w:lvl>
    <w:lvl w:ilvl="4">
      <w:start w:val="1"/>
      <w:numFmt w:val="decimal"/>
      <w:isLgl/>
      <w:lvlText w:val="%4.%5"/>
      <w:lvlJc w:val="left"/>
      <w:pPr>
        <w:ind w:left="567" w:hanging="567"/>
      </w:pPr>
      <w:rPr>
        <w:rFonts w:hint="default"/>
        <w:color w:val="0072BC"/>
      </w:rPr>
    </w:lvl>
    <w:lvl w:ilvl="5">
      <w:start w:val="1"/>
      <w:numFmt w:val="decimal"/>
      <w:isLgl/>
      <w:lvlText w:val="%4.%5.%6"/>
      <w:lvlJc w:val="left"/>
      <w:pPr>
        <w:ind w:left="567" w:hanging="567"/>
      </w:pPr>
      <w:rPr>
        <w:rFonts w:hint="default"/>
        <w:color w:val="0072BC"/>
      </w:rPr>
    </w:lvl>
    <w:lvl w:ilvl="6">
      <w:start w:val="1"/>
      <w:numFmt w:val="decimal"/>
      <w:lvlRestart w:val="0"/>
      <w:lvlText w:val="%7."/>
      <w:lvlJc w:val="left"/>
      <w:pPr>
        <w:ind w:left="567" w:hanging="567"/>
      </w:pPr>
      <w:rPr>
        <w:rFonts w:ascii="Arial" w:hAnsi="Arial" w:hint="default"/>
        <w:b w:val="0"/>
        <w:i w:val="0"/>
        <w:color w:val="0072BC"/>
        <w:sz w:val="20"/>
      </w:rPr>
    </w:lvl>
    <w:lvl w:ilvl="7">
      <w:start w:val="1"/>
      <w:numFmt w:val="lowerLetter"/>
      <w:lvlText w:val="%8."/>
      <w:lvlJc w:val="left"/>
      <w:pPr>
        <w:ind w:left="1134" w:hanging="567"/>
      </w:pPr>
      <w:rPr>
        <w:rFonts w:ascii="Arial" w:hAnsi="Arial" w:hint="default"/>
        <w:b w:val="0"/>
        <w:i w:val="0"/>
        <w:color w:val="0072BC"/>
        <w:sz w:val="20"/>
      </w:rPr>
    </w:lvl>
    <w:lvl w:ilvl="8">
      <w:start w:val="1"/>
      <w:numFmt w:val="lowerRoman"/>
      <w:lvlText w:val="%9."/>
      <w:lvlJc w:val="left"/>
      <w:pPr>
        <w:ind w:left="1701" w:hanging="567"/>
      </w:pPr>
      <w:rPr>
        <w:rFonts w:ascii="Arial" w:hAnsi="Arial" w:hint="default"/>
        <w:b w:val="0"/>
        <w:i w:val="0"/>
        <w:color w:val="0072BC"/>
        <w:sz w:val="20"/>
      </w:rPr>
    </w:lvl>
  </w:abstractNum>
  <w:abstractNum w:abstractNumId="9" w15:restartNumberingAfterBreak="0">
    <w:nsid w:val="2B587E8C"/>
    <w:multiLevelType w:val="multilevel"/>
    <w:tmpl w:val="99B4F69E"/>
    <w:lvl w:ilvl="0">
      <w:start w:val="1"/>
      <w:numFmt w:val="decimal"/>
      <w:pStyle w:val="berschrift1"/>
      <w:lvlText w:val="%1."/>
      <w:lvlJc w:val="left"/>
      <w:pPr>
        <w:tabs>
          <w:tab w:val="num" w:pos="850"/>
        </w:tabs>
        <w:ind w:left="850" w:hanging="850"/>
      </w:pPr>
      <w:rPr>
        <w:rFonts w:hint="default"/>
      </w:rPr>
    </w:lvl>
    <w:lvl w:ilvl="1">
      <w:start w:val="1"/>
      <w:numFmt w:val="decimal"/>
      <w:pStyle w:val="berschrift2"/>
      <w:lvlText w:val="%1.%2."/>
      <w:lvlJc w:val="left"/>
      <w:pPr>
        <w:tabs>
          <w:tab w:val="num" w:pos="850"/>
        </w:tabs>
        <w:ind w:left="850" w:hanging="850"/>
      </w:pPr>
      <w:rPr>
        <w:rFonts w:hint="default"/>
      </w:rPr>
    </w:lvl>
    <w:lvl w:ilvl="2">
      <w:start w:val="1"/>
      <w:numFmt w:val="decimal"/>
      <w:pStyle w:val="berschrift3"/>
      <w:lvlText w:val="%1.%2.%3"/>
      <w:lvlJc w:val="left"/>
      <w:pPr>
        <w:tabs>
          <w:tab w:val="num" w:pos="850"/>
        </w:tabs>
        <w:ind w:left="850" w:hanging="850"/>
      </w:pPr>
      <w:rPr>
        <w:rFonts w:hint="default"/>
      </w:rPr>
    </w:lvl>
    <w:lvl w:ilvl="3">
      <w:start w:val="1"/>
      <w:numFmt w:val="decimal"/>
      <w:pStyle w:val="berschrift4"/>
      <w:lvlText w:val="%1.%2.%3.%4"/>
      <w:lvlJc w:val="left"/>
      <w:pPr>
        <w:tabs>
          <w:tab w:val="num" w:pos="850"/>
        </w:tabs>
        <w:ind w:left="850" w:hanging="850"/>
      </w:pPr>
      <w:rPr>
        <w:rFonts w:ascii="Arial" w:hAnsi="Arial" w:cs="Arial" w:hint="default"/>
        <w:b w:val="0"/>
        <w:bCs/>
        <w:i w:val="0"/>
        <w:caps w:val="0"/>
        <w:strike w:val="0"/>
        <w:dstrike w:val="0"/>
        <w:vanish w:val="0"/>
        <w:color w:val="2E404D" w:themeColor="text2"/>
        <w:spacing w:val="10"/>
        <w:sz w:val="20"/>
        <w:u w:val="none"/>
        <w:effect w:val="none"/>
        <w:vertAlign w:val="baseline"/>
      </w:rPr>
    </w:lvl>
    <w:lvl w:ilvl="4">
      <w:start w:val="1"/>
      <w:numFmt w:val="decimal"/>
      <w:pStyle w:val="berschrift5"/>
      <w:lvlText w:val="%1.%2.%3.%4.%5"/>
      <w:lvlJc w:val="left"/>
      <w:pPr>
        <w:tabs>
          <w:tab w:val="num" w:pos="850"/>
        </w:tabs>
        <w:ind w:left="850" w:hanging="850"/>
      </w:pPr>
      <w:rPr>
        <w:rFonts w:ascii="Arial" w:hAnsi="Arial" w:cs="Arial" w:hint="default"/>
        <w:b w:val="0"/>
        <w:i w:val="0"/>
        <w:caps w:val="0"/>
        <w:strike w:val="0"/>
        <w:dstrike w:val="0"/>
        <w:vanish w:val="0"/>
        <w:color w:val="2E404D" w:themeColor="text2"/>
        <w:spacing w:val="10"/>
        <w:sz w:val="20"/>
        <w:u w:val="none"/>
        <w:effect w:val="none"/>
        <w:vertAlign w:val="baseline"/>
      </w:rPr>
    </w:lvl>
    <w:lvl w:ilvl="5">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8"/>
        <w:u w:val="none"/>
        <w:effect w:val="none"/>
        <w:vertAlign w:val="baseline"/>
      </w:rPr>
    </w:lvl>
    <w:lvl w:ilvl="6">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4"/>
        <w:u w:val="none"/>
        <w:effect w:val="none"/>
        <w:vertAlign w:val="baseline"/>
      </w:rPr>
    </w:lvl>
    <w:lvl w:ilvl="7">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2"/>
        <w:u w:val="none"/>
        <w:effect w:val="none"/>
        <w:vertAlign w:val="baseline"/>
      </w:rPr>
    </w:lvl>
    <w:lvl w:ilvl="8">
      <w:start w:val="1"/>
      <w:numFmt w:val="none"/>
      <w:lvlText w:val=""/>
      <w:lvlJc w:val="left"/>
      <w:pPr>
        <w:tabs>
          <w:tab w:val="num" w:pos="850"/>
        </w:tabs>
        <w:ind w:left="850" w:hanging="850"/>
      </w:pPr>
      <w:rPr>
        <w:rFonts w:ascii="Arial" w:hAnsi="Arial" w:cs="Arial" w:hint="default"/>
        <w:b/>
        <w:i w:val="0"/>
        <w:caps w:val="0"/>
        <w:strike w:val="0"/>
        <w:dstrike w:val="0"/>
        <w:vanish w:val="0"/>
        <w:color w:val="000000"/>
        <w:spacing w:val="10"/>
        <w:sz w:val="20"/>
        <w:u w:val="none"/>
        <w:effect w:val="none"/>
        <w:vertAlign w:val="baseline"/>
      </w:rPr>
    </w:lvl>
  </w:abstractNum>
  <w:abstractNum w:abstractNumId="10" w15:restartNumberingAfterBreak="0">
    <w:nsid w:val="2C451A45"/>
    <w:multiLevelType w:val="hybridMultilevel"/>
    <w:tmpl w:val="0C5EB34A"/>
    <w:lvl w:ilvl="0" w:tplc="EC98416C">
      <w:start w:val="1"/>
      <w:numFmt w:val="decimal"/>
      <w:pStyle w:val="Listenabsatz"/>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15:restartNumberingAfterBreak="0">
    <w:nsid w:val="322165AD"/>
    <w:multiLevelType w:val="multilevel"/>
    <w:tmpl w:val="DF08BF3C"/>
    <w:lvl w:ilvl="0">
      <w:start w:val="1"/>
      <w:numFmt w:val="upperLetter"/>
      <w:pStyle w:val="AppendixHeading1"/>
      <w:lvlText w:val="Appendix %1"/>
      <w:lvlJc w:val="left"/>
      <w:pPr>
        <w:ind w:left="360" w:hanging="360"/>
      </w:pPr>
      <w:rPr>
        <w:rFonts w:ascii="Georgia" w:hAnsi="Georgia" w:cs="Arial" w:hint="default"/>
        <w:color w:val="00DFED" w:themeColor="accent2"/>
        <w:kern w:val="20"/>
      </w:rPr>
    </w:lvl>
    <w:lvl w:ilvl="1">
      <w:start w:val="1"/>
      <w:numFmt w:val="decimal"/>
      <w:pStyle w:val="AppendixHeading2"/>
      <w:lvlText w:val="Appendix %1.%2"/>
      <w:lvlJc w:val="left"/>
      <w:pPr>
        <w:ind w:left="0" w:firstLine="0"/>
      </w:pPr>
      <w:rPr>
        <w:rFonts w:ascii="Arial" w:hAnsi="Arial" w:hint="default"/>
        <w:color w:val="FFFFFF" w:themeColor="text1"/>
      </w:rPr>
    </w:lvl>
    <w:lvl w:ilvl="2">
      <w:start w:val="1"/>
      <w:numFmt w:val="decimal"/>
      <w:pStyle w:val="AppendixHeading3"/>
      <w:lvlText w:val="Appendix %1.%2.%3"/>
      <w:lvlJc w:val="left"/>
      <w:pPr>
        <w:ind w:left="0" w:firstLine="0"/>
      </w:pPr>
      <w:rPr>
        <w:rFonts w:ascii="Arial" w:hAnsi="Arial" w:hint="default"/>
        <w:color w:val="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D43425"/>
    <w:multiLevelType w:val="hybridMultilevel"/>
    <w:tmpl w:val="E022F4C0"/>
    <w:lvl w:ilvl="0" w:tplc="FFFFFFFF">
      <w:start w:val="1"/>
      <w:numFmt w:val="lowerLetter"/>
      <w:lvlText w:val="%1)"/>
      <w:lvlJc w:val="left"/>
      <w:pPr>
        <w:ind w:left="720" w:hanging="360"/>
      </w:pPr>
      <w:rPr>
        <w:rFonts w:asciiTheme="minorHAnsi" w:eastAsiaTheme="minorEastAsia"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FD6598"/>
    <w:multiLevelType w:val="hybridMultilevel"/>
    <w:tmpl w:val="29C833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194436"/>
    <w:multiLevelType w:val="multilevel"/>
    <w:tmpl w:val="E9EA4532"/>
    <w:lvl w:ilvl="0">
      <w:start w:val="1"/>
      <w:numFmt w:val="decimal"/>
      <w:pStyle w:val="Legalnumbering1"/>
      <w:lvlText w:val="%1."/>
      <w:lvlJc w:val="left"/>
      <w:pPr>
        <w:ind w:left="851" w:hanging="851"/>
      </w:pPr>
      <w:rPr>
        <w:rFonts w:hint="default"/>
      </w:rPr>
    </w:lvl>
    <w:lvl w:ilvl="1">
      <w:start w:val="1"/>
      <w:numFmt w:val="decimal"/>
      <w:pStyle w:val="Legalnumbering2"/>
      <w:lvlText w:val="%1.%2."/>
      <w:lvlJc w:val="left"/>
      <w:pPr>
        <w:ind w:left="851" w:hanging="851"/>
      </w:pPr>
      <w:rPr>
        <w:rFonts w:hint="default"/>
      </w:rPr>
    </w:lvl>
    <w:lvl w:ilvl="2">
      <w:start w:val="1"/>
      <w:numFmt w:val="decimal"/>
      <w:pStyle w:val="Legalnumbering3"/>
      <w:lvlText w:val="%1.%2.%3."/>
      <w:lvlJc w:val="left"/>
      <w:pPr>
        <w:ind w:left="851" w:hanging="851"/>
      </w:pPr>
      <w:rPr>
        <w:rFonts w:hint="default"/>
      </w:rPr>
    </w:lvl>
    <w:lvl w:ilvl="3">
      <w:start w:val="1"/>
      <w:numFmt w:val="decimal"/>
      <w:pStyle w:val="Legalnumbering4"/>
      <w:lvlText w:val="%1.%2.%3.%4"/>
      <w:lvlJc w:val="left"/>
      <w:pPr>
        <w:ind w:left="851" w:hanging="851"/>
      </w:pPr>
      <w:rPr>
        <w:rFonts w:hint="default"/>
      </w:rPr>
    </w:lvl>
    <w:lvl w:ilvl="4">
      <w:start w:val="1"/>
      <w:numFmt w:val="decimal"/>
      <w:pStyle w:val="Legalnumbering5"/>
      <w:lvlText w:val="%1.%2.%3.%4.%5"/>
      <w:lvlJc w:val="left"/>
      <w:pPr>
        <w:ind w:left="851" w:hanging="851"/>
      </w:pPr>
      <w:rPr>
        <w:rFonts w:hint="default"/>
      </w:rPr>
    </w:lvl>
    <w:lvl w:ilvl="5">
      <w:start w:val="1"/>
      <w:numFmt w:val="decimal"/>
      <w:pStyle w:val="Legalnumbering6"/>
      <w:lvlText w:val="%1.%2.%3.%4.%5.%6"/>
      <w:lvlJc w:val="left"/>
      <w:pPr>
        <w:ind w:left="851" w:hanging="85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56107363"/>
    <w:multiLevelType w:val="multilevel"/>
    <w:tmpl w:val="1C9288EE"/>
    <w:lvl w:ilvl="0">
      <w:start w:val="1"/>
      <w:numFmt w:val="bullet"/>
      <w:lvlText w:val="●"/>
      <w:lvlJc w:val="left"/>
      <w:pPr>
        <w:tabs>
          <w:tab w:val="num" w:pos="851"/>
        </w:tabs>
        <w:ind w:left="1134" w:hanging="283"/>
      </w:pPr>
      <w:rPr>
        <w:rFonts w:ascii="Arial" w:hAnsi="Arial" w:hint="default"/>
        <w:b w:val="0"/>
        <w:i w:val="0"/>
        <w:color w:val="000000"/>
        <w:spacing w:val="8"/>
        <w:kern w:val="20"/>
        <w:sz w:val="20"/>
      </w:rPr>
    </w:lvl>
    <w:lvl w:ilvl="1">
      <w:start w:val="1"/>
      <w:numFmt w:val="bullet"/>
      <w:lvlText w:val="●"/>
      <w:lvlJc w:val="left"/>
      <w:pPr>
        <w:tabs>
          <w:tab w:val="num" w:pos="851"/>
        </w:tabs>
        <w:ind w:left="1134" w:hanging="283"/>
      </w:pPr>
      <w:rPr>
        <w:rFonts w:ascii="Arial" w:hAnsi="Arial" w:hint="default"/>
        <w:color w:val="0072BC"/>
        <w:sz w:val="18"/>
      </w:rPr>
    </w:lvl>
    <w:lvl w:ilvl="2">
      <w:start w:val="1"/>
      <w:numFmt w:val="bullet"/>
      <w:pStyle w:val="NTTDATABoldBullet"/>
      <w:lvlText w:val="●"/>
      <w:lvlJc w:val="left"/>
      <w:pPr>
        <w:tabs>
          <w:tab w:val="num" w:pos="851"/>
        </w:tabs>
        <w:ind w:left="1134" w:hanging="283"/>
      </w:pPr>
      <w:rPr>
        <w:rFonts w:ascii="Arial" w:hAnsi="Arial" w:hint="default"/>
        <w:color w:val="000000"/>
        <w:sz w:val="20"/>
      </w:rPr>
    </w:lvl>
    <w:lvl w:ilvl="3">
      <w:start w:val="1"/>
      <w:numFmt w:val="bullet"/>
      <w:lvlText w:val="●"/>
      <w:lvlJc w:val="left"/>
      <w:pPr>
        <w:ind w:left="1134" w:hanging="283"/>
      </w:pPr>
      <w:rPr>
        <w:rFonts w:ascii="Arial" w:hAnsi="Arial" w:hint="default"/>
        <w:color w:val="FF0000"/>
        <w:sz w:val="18"/>
      </w:rPr>
    </w:lvl>
    <w:lvl w:ilvl="4">
      <w:start w:val="1"/>
      <w:numFmt w:val="bullet"/>
      <w:lvlText w:val="●"/>
      <w:lvlJc w:val="left"/>
      <w:pPr>
        <w:ind w:left="284" w:hanging="284"/>
      </w:pPr>
      <w:rPr>
        <w:rFonts w:ascii="Arial" w:hAnsi="Arial" w:hint="default"/>
        <w:color w:val="000000"/>
        <w:sz w:val="20"/>
      </w:rPr>
    </w:lvl>
    <w:lvl w:ilvl="5">
      <w:start w:val="1"/>
      <w:numFmt w:val="bullet"/>
      <w:lvlText w:val="●"/>
      <w:lvlJc w:val="left"/>
      <w:pPr>
        <w:ind w:left="284" w:hanging="284"/>
      </w:pPr>
      <w:rPr>
        <w:rFonts w:ascii="Arial" w:hAnsi="Arial" w:hint="default"/>
        <w:color w:val="0072BC"/>
        <w:sz w:val="18"/>
      </w:rPr>
    </w:lvl>
    <w:lvl w:ilvl="6">
      <w:start w:val="1"/>
      <w:numFmt w:val="bullet"/>
      <w:lvlRestart w:val="0"/>
      <w:pStyle w:val="NTTDATAFlushBoldBullet"/>
      <w:lvlText w:val="●"/>
      <w:lvlJc w:val="left"/>
      <w:pPr>
        <w:ind w:left="284" w:hanging="284"/>
      </w:pPr>
      <w:rPr>
        <w:rFonts w:ascii="Arial" w:hAnsi="Arial" w:hint="default"/>
        <w:color w:val="000000"/>
        <w:sz w:val="20"/>
      </w:rPr>
    </w:lvl>
    <w:lvl w:ilvl="7">
      <w:start w:val="1"/>
      <w:numFmt w:val="bullet"/>
      <w:lvlText w:val="●"/>
      <w:lvlJc w:val="left"/>
      <w:pPr>
        <w:ind w:left="284" w:hanging="284"/>
      </w:pPr>
      <w:rPr>
        <w:rFonts w:ascii="Arial" w:hAnsi="Arial" w:hint="default"/>
        <w:color w:val="auto"/>
        <w:sz w:val="20"/>
      </w:rPr>
    </w:lvl>
    <w:lvl w:ilvl="8">
      <w:start w:val="1"/>
      <w:numFmt w:val="bullet"/>
      <w:lvlText w:val="●"/>
      <w:lvlJc w:val="left"/>
      <w:pPr>
        <w:ind w:left="284" w:hanging="284"/>
      </w:pPr>
      <w:rPr>
        <w:rFonts w:ascii="Arial" w:hAnsi="Arial" w:hint="default"/>
        <w:color w:val="auto"/>
        <w:sz w:val="18"/>
      </w:rPr>
    </w:lvl>
  </w:abstractNum>
  <w:abstractNum w:abstractNumId="16" w15:restartNumberingAfterBreak="0">
    <w:nsid w:val="58672866"/>
    <w:multiLevelType w:val="multilevel"/>
    <w:tmpl w:val="6D02664C"/>
    <w:lvl w:ilvl="0">
      <w:start w:val="1"/>
      <w:numFmt w:val="bullet"/>
      <w:lvlText w:val="●"/>
      <w:lvlJc w:val="left"/>
      <w:pPr>
        <w:tabs>
          <w:tab w:val="num" w:pos="284"/>
        </w:tabs>
        <w:ind w:left="284" w:hanging="284"/>
      </w:pPr>
      <w:rPr>
        <w:rFonts w:ascii="Arial" w:hAnsi="Arial" w:hint="default"/>
        <w:color w:val="000000"/>
        <w:spacing w:val="8"/>
        <w:kern w:val="18"/>
        <w:sz w:val="18"/>
        <w:szCs w:val="20"/>
      </w:rPr>
    </w:lvl>
    <w:lvl w:ilvl="1">
      <w:start w:val="1"/>
      <w:numFmt w:val="bullet"/>
      <w:pStyle w:val="NTTDATATableBullet2"/>
      <w:lvlText w:val="○"/>
      <w:lvlJc w:val="left"/>
      <w:pPr>
        <w:tabs>
          <w:tab w:val="num" w:pos="567"/>
        </w:tabs>
        <w:ind w:left="567" w:hanging="283"/>
      </w:pPr>
      <w:rPr>
        <w:rFonts w:ascii="Arial" w:hAnsi="Arial" w:cs="Times New Roman" w:hint="default"/>
        <w:b w:val="0"/>
        <w:i w:val="0"/>
        <w:color w:val="000000"/>
        <w:sz w:val="18"/>
      </w:rPr>
    </w:lvl>
    <w:lvl w:ilvl="2">
      <w:start w:val="1"/>
      <w:numFmt w:val="bullet"/>
      <w:pStyle w:val="NTTDATATableBullet3"/>
      <w:lvlText w:val="-"/>
      <w:lvlJc w:val="left"/>
      <w:pPr>
        <w:tabs>
          <w:tab w:val="num" w:pos="851"/>
        </w:tabs>
        <w:ind w:left="851" w:hanging="284"/>
      </w:pPr>
      <w:rPr>
        <w:rFonts w:ascii="Arial" w:hAnsi="Arial" w:cs="Times New Roman" w:hint="default"/>
        <w:b w:val="0"/>
        <w:i w:val="0"/>
        <w:color w:val="000000"/>
        <w:sz w:val="18"/>
      </w:rPr>
    </w:lvl>
    <w:lvl w:ilvl="3">
      <w:start w:val="1"/>
      <w:numFmt w:val="decimal"/>
      <w:lvlText w:val="%4."/>
      <w:lvlJc w:val="left"/>
      <w:pPr>
        <w:tabs>
          <w:tab w:val="num" w:pos="567"/>
        </w:tabs>
        <w:ind w:left="567" w:hanging="567"/>
      </w:pPr>
      <w:rPr>
        <w:rFonts w:ascii="Arial" w:hAnsi="Arial" w:hint="default"/>
        <w:b w:val="0"/>
        <w:i w:val="0"/>
        <w:color w:val="000000"/>
        <w:spacing w:val="-20"/>
        <w:sz w:val="18"/>
        <w:szCs w:val="18"/>
      </w:rPr>
    </w:lvl>
    <w:lvl w:ilvl="4">
      <w:start w:val="1"/>
      <w:numFmt w:val="decimal"/>
      <w:lvlText w:val="%4.%5."/>
      <w:lvlJc w:val="left"/>
      <w:pPr>
        <w:tabs>
          <w:tab w:val="num" w:pos="567"/>
        </w:tabs>
        <w:ind w:left="567" w:hanging="567"/>
      </w:pPr>
      <w:rPr>
        <w:rFonts w:ascii="Arial" w:hAnsi="Arial" w:hint="default"/>
        <w:b w:val="0"/>
        <w:i w:val="0"/>
        <w:color w:val="000000"/>
        <w:spacing w:val="-20"/>
        <w:sz w:val="18"/>
        <w:szCs w:val="18"/>
      </w:rPr>
    </w:lvl>
    <w:lvl w:ilvl="5">
      <w:start w:val="1"/>
      <w:numFmt w:val="decimal"/>
      <w:lvlText w:val="%4.%5.%6."/>
      <w:lvlJc w:val="left"/>
      <w:pPr>
        <w:tabs>
          <w:tab w:val="num" w:pos="567"/>
        </w:tabs>
        <w:ind w:left="567" w:hanging="567"/>
      </w:pPr>
      <w:rPr>
        <w:rFonts w:ascii="Arial" w:hAnsi="Arial" w:hint="default"/>
        <w:b w:val="0"/>
        <w:i w:val="0"/>
        <w:color w:val="000000"/>
        <w:spacing w:val="-20"/>
        <w:sz w:val="18"/>
        <w:szCs w:val="18"/>
      </w:rPr>
    </w:lvl>
    <w:lvl w:ilvl="6">
      <w:start w:val="1"/>
      <w:numFmt w:val="decimal"/>
      <w:lvlText w:val="%7."/>
      <w:lvlJc w:val="left"/>
      <w:pPr>
        <w:tabs>
          <w:tab w:val="num" w:pos="567"/>
        </w:tabs>
        <w:ind w:left="567" w:hanging="567"/>
      </w:pPr>
      <w:rPr>
        <w:rFonts w:ascii="Arial" w:hAnsi="Arial" w:hint="default"/>
        <w:b w:val="0"/>
        <w:i w:val="0"/>
        <w:color w:val="000000"/>
        <w:sz w:val="18"/>
        <w:szCs w:val="18"/>
      </w:rPr>
    </w:lvl>
    <w:lvl w:ilvl="7">
      <w:start w:val="1"/>
      <w:numFmt w:val="lowerLetter"/>
      <w:pStyle w:val="NTTDATATableBullet8"/>
      <w:lvlText w:val="%8."/>
      <w:lvlJc w:val="left"/>
      <w:pPr>
        <w:tabs>
          <w:tab w:val="num" w:pos="1134"/>
        </w:tabs>
        <w:ind w:left="1134" w:hanging="567"/>
      </w:pPr>
      <w:rPr>
        <w:rFonts w:ascii="Arial" w:hAnsi="Arial" w:hint="default"/>
        <w:b w:val="0"/>
        <w:i w:val="0"/>
        <w:color w:val="000000"/>
        <w:sz w:val="18"/>
        <w:szCs w:val="18"/>
      </w:rPr>
    </w:lvl>
    <w:lvl w:ilvl="8">
      <w:start w:val="1"/>
      <w:numFmt w:val="lowerRoman"/>
      <w:pStyle w:val="NTTDATATableBullet9"/>
      <w:lvlText w:val="%9."/>
      <w:lvlJc w:val="left"/>
      <w:pPr>
        <w:tabs>
          <w:tab w:val="num" w:pos="1701"/>
        </w:tabs>
        <w:ind w:left="1701" w:hanging="567"/>
      </w:pPr>
      <w:rPr>
        <w:rFonts w:ascii="Arial" w:hAnsi="Arial" w:hint="default"/>
        <w:b w:val="0"/>
        <w:i w:val="0"/>
        <w:color w:val="000000"/>
        <w:sz w:val="18"/>
        <w:szCs w:val="18"/>
      </w:rPr>
    </w:lvl>
  </w:abstractNum>
  <w:abstractNum w:abstractNumId="17" w15:restartNumberingAfterBreak="0">
    <w:nsid w:val="5B341E57"/>
    <w:multiLevelType w:val="hybridMultilevel"/>
    <w:tmpl w:val="E022F4C0"/>
    <w:lvl w:ilvl="0" w:tplc="FFFFFFFF">
      <w:start w:val="1"/>
      <w:numFmt w:val="lowerLetter"/>
      <w:lvlText w:val="%1)"/>
      <w:lvlJc w:val="left"/>
      <w:pPr>
        <w:ind w:left="720" w:hanging="360"/>
      </w:pPr>
      <w:rPr>
        <w:rFonts w:asciiTheme="minorHAnsi" w:eastAsiaTheme="minorEastAsia"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8F5565"/>
    <w:multiLevelType w:val="hybridMultilevel"/>
    <w:tmpl w:val="845AED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3C266DC"/>
    <w:multiLevelType w:val="hybridMultilevel"/>
    <w:tmpl w:val="09AA064A"/>
    <w:lvl w:ilvl="0" w:tplc="873EECC8">
      <w:start w:val="1"/>
      <w:numFmt w:val="lowerLetter"/>
      <w:lvlText w:val="%1)"/>
      <w:lvlJc w:val="left"/>
      <w:pPr>
        <w:ind w:left="720" w:hanging="360"/>
      </w:pPr>
      <w:rPr>
        <w:rFonts w:asciiTheme="minorHAnsi" w:eastAsiaTheme="minorEastAsia" w:hAnsiTheme="minorHAnsi" w:cstheme="minorBidi"/>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ADC5AC5"/>
    <w:multiLevelType w:val="hybridMultilevel"/>
    <w:tmpl w:val="A1D2A2F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0F94F96"/>
    <w:multiLevelType w:val="hybridMultilevel"/>
    <w:tmpl w:val="A1D2A2F2"/>
    <w:lvl w:ilvl="0" w:tplc="0407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4124F0"/>
    <w:multiLevelType w:val="hybridMultilevel"/>
    <w:tmpl w:val="9A3C66B0"/>
    <w:lvl w:ilvl="0" w:tplc="FFFFFFFF">
      <w:start w:val="1"/>
      <w:numFmt w:val="lowerLetter"/>
      <w:lvlText w:val="%1)"/>
      <w:lvlJc w:val="left"/>
      <w:pPr>
        <w:ind w:left="720" w:hanging="360"/>
      </w:pPr>
      <w:rPr>
        <w:rFonts w:asciiTheme="minorHAnsi" w:eastAsiaTheme="minorEastAsia" w:hAnsiTheme="minorHAnsi" w:cstheme="minorBidi"/>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5161A5"/>
    <w:multiLevelType w:val="hybridMultilevel"/>
    <w:tmpl w:val="E022F4C0"/>
    <w:lvl w:ilvl="0" w:tplc="FFFFFFFF">
      <w:start w:val="1"/>
      <w:numFmt w:val="lowerLetter"/>
      <w:lvlText w:val="%1)"/>
      <w:lvlJc w:val="left"/>
      <w:pPr>
        <w:ind w:left="720" w:hanging="360"/>
      </w:pPr>
      <w:rPr>
        <w:rFonts w:asciiTheme="minorHAnsi" w:eastAsiaTheme="minorEastAsia"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E7C3026"/>
    <w:multiLevelType w:val="multilevel"/>
    <w:tmpl w:val="D0B092CC"/>
    <w:lvl w:ilvl="0">
      <w:start w:val="1"/>
      <w:numFmt w:val="bullet"/>
      <w:pStyle w:val="Bullet"/>
      <w:lvlText w:val="●"/>
      <w:lvlJc w:val="left"/>
      <w:pPr>
        <w:ind w:left="284" w:hanging="284"/>
      </w:pPr>
      <w:rPr>
        <w:rFonts w:ascii="Arial" w:hAnsi="Arial" w:hint="default"/>
        <w:b w:val="0"/>
        <w:i w:val="0"/>
        <w:color w:val="000000"/>
        <w:kern w:val="20"/>
        <w:sz w:val="20"/>
      </w:rPr>
    </w:lvl>
    <w:lvl w:ilvl="1">
      <w:start w:val="1"/>
      <w:numFmt w:val="bullet"/>
      <w:pStyle w:val="BulletLevel2"/>
      <w:lvlText w:val="○"/>
      <w:lvlJc w:val="left"/>
      <w:pPr>
        <w:ind w:left="567" w:hanging="283"/>
      </w:pPr>
      <w:rPr>
        <w:rFonts w:ascii="Arial" w:hAnsi="Arial" w:cs="Times New Roman" w:hint="default"/>
        <w:b w:val="0"/>
        <w:i w:val="0"/>
        <w:color w:val="000000"/>
        <w:sz w:val="20"/>
      </w:rPr>
    </w:lvl>
    <w:lvl w:ilvl="2">
      <w:start w:val="1"/>
      <w:numFmt w:val="bullet"/>
      <w:pStyle w:val="BulletLevel3"/>
      <w:lvlText w:val="-"/>
      <w:lvlJc w:val="left"/>
      <w:pPr>
        <w:ind w:left="851" w:hanging="284"/>
      </w:pPr>
      <w:rPr>
        <w:rFonts w:ascii="Arial" w:hAnsi="Arial" w:cs="Times New Roman" w:hint="default"/>
        <w:b w:val="0"/>
        <w:i w:val="0"/>
        <w:color w:val="000000"/>
        <w:sz w:val="20"/>
      </w:rPr>
    </w:lvl>
    <w:lvl w:ilvl="3">
      <w:start w:val="1"/>
      <w:numFmt w:val="decimal"/>
      <w:isLgl/>
      <w:lvlText w:val="%4."/>
      <w:lvlJc w:val="left"/>
      <w:pPr>
        <w:ind w:left="567" w:hanging="567"/>
      </w:pPr>
      <w:rPr>
        <w:rFonts w:hint="default"/>
        <w:color w:val="000000"/>
      </w:rPr>
    </w:lvl>
    <w:lvl w:ilvl="4">
      <w:start w:val="1"/>
      <w:numFmt w:val="decimal"/>
      <w:isLgl/>
      <w:lvlText w:val="%4.%5"/>
      <w:lvlJc w:val="left"/>
      <w:pPr>
        <w:ind w:left="567" w:hanging="567"/>
      </w:pPr>
      <w:rPr>
        <w:rFonts w:hint="default"/>
        <w:color w:val="000000"/>
      </w:rPr>
    </w:lvl>
    <w:lvl w:ilvl="5">
      <w:start w:val="1"/>
      <w:numFmt w:val="decimal"/>
      <w:isLgl/>
      <w:lvlText w:val="%4.%5.%6"/>
      <w:lvlJc w:val="left"/>
      <w:pPr>
        <w:ind w:left="567" w:hanging="567"/>
      </w:pPr>
      <w:rPr>
        <w:rFonts w:hint="default"/>
        <w:color w:val="000000"/>
      </w:rPr>
    </w:lvl>
    <w:lvl w:ilvl="6">
      <w:start w:val="1"/>
      <w:numFmt w:val="decimal"/>
      <w:lvlText w:val="%7."/>
      <w:lvlJc w:val="left"/>
      <w:pPr>
        <w:ind w:left="567" w:hanging="567"/>
      </w:pPr>
      <w:rPr>
        <w:rFonts w:hint="default"/>
        <w:color w:val="000000"/>
      </w:rPr>
    </w:lvl>
    <w:lvl w:ilvl="7">
      <w:start w:val="1"/>
      <w:numFmt w:val="lowerLetter"/>
      <w:lvlText w:val="%8."/>
      <w:lvlJc w:val="left"/>
      <w:pPr>
        <w:ind w:left="1134" w:hanging="567"/>
      </w:pPr>
      <w:rPr>
        <w:rFonts w:hint="default"/>
        <w:color w:val="000000"/>
      </w:rPr>
    </w:lvl>
    <w:lvl w:ilvl="8">
      <w:start w:val="1"/>
      <w:numFmt w:val="lowerRoman"/>
      <w:lvlText w:val="%9."/>
      <w:lvlJc w:val="left"/>
      <w:pPr>
        <w:ind w:left="1701" w:hanging="567"/>
      </w:pPr>
      <w:rPr>
        <w:rFonts w:hint="default"/>
        <w:color w:val="000000"/>
      </w:rPr>
    </w:lvl>
  </w:abstractNum>
  <w:num w:numId="1" w16cid:durableId="902790624">
    <w:abstractNumId w:val="4"/>
  </w:num>
  <w:num w:numId="2" w16cid:durableId="775369593">
    <w:abstractNumId w:val="5"/>
    <w:lvlOverride w:ilvl="0">
      <w:lvl w:ilvl="0">
        <w:start w:val="1"/>
        <w:numFmt w:val="bullet"/>
        <w:pStyle w:val="NTTDATATableBullet1"/>
        <w:lvlText w:val="●"/>
        <w:lvlJc w:val="left"/>
        <w:pPr>
          <w:tabs>
            <w:tab w:val="num" w:pos="283"/>
          </w:tabs>
          <w:ind w:left="283" w:hanging="283"/>
        </w:pPr>
      </w:lvl>
    </w:lvlOverride>
    <w:lvlOverride w:ilvl="1">
      <w:lvl w:ilvl="1">
        <w:start w:val="1"/>
        <w:numFmt w:val="bullet"/>
        <w:lvlText w:val="○"/>
        <w:lvlJc w:val="left"/>
        <w:pPr>
          <w:tabs>
            <w:tab w:val="num" w:pos="1134"/>
          </w:tabs>
          <w:ind w:left="1134" w:hanging="284"/>
        </w:pPr>
      </w:lvl>
    </w:lvlOverride>
    <w:lvlOverride w:ilvl="2">
      <w:lvl w:ilvl="2">
        <w:start w:val="1"/>
        <w:numFmt w:val="bullet"/>
        <w:lvlText w:val="-"/>
        <w:lvlJc w:val="left"/>
        <w:pPr>
          <w:tabs>
            <w:tab w:val="num" w:pos="850"/>
          </w:tabs>
          <w:ind w:left="850" w:hanging="283"/>
        </w:pPr>
      </w:lvl>
    </w:lvlOverride>
    <w:lvlOverride w:ilvl="3">
      <w:lvl w:ilvl="3">
        <w:start w:val="1"/>
        <w:numFmt w:val="decimal"/>
        <w:pStyle w:val="NTTDATATableBullet4"/>
        <w:lvlText w:val="%4."/>
        <w:lvlJc w:val="left"/>
        <w:pPr>
          <w:tabs>
            <w:tab w:val="num" w:pos="567"/>
          </w:tabs>
          <w:ind w:left="567" w:hanging="567"/>
        </w:pPr>
      </w:lvl>
    </w:lvlOverride>
    <w:lvlOverride w:ilvl="4">
      <w:lvl w:ilvl="4">
        <w:start w:val="1"/>
        <w:numFmt w:val="decimal"/>
        <w:pStyle w:val="NTTDATATableBullet5"/>
        <w:lvlText w:val="%4.%5."/>
        <w:lvlJc w:val="left"/>
        <w:pPr>
          <w:tabs>
            <w:tab w:val="num" w:pos="567"/>
          </w:tabs>
          <w:ind w:left="567" w:hanging="567"/>
        </w:pPr>
      </w:lvl>
    </w:lvlOverride>
    <w:lvlOverride w:ilvl="5">
      <w:lvl w:ilvl="5">
        <w:start w:val="1"/>
        <w:numFmt w:val="decimal"/>
        <w:pStyle w:val="NTTDATATableBullet6"/>
        <w:lvlText w:val="%4.%5.%6."/>
        <w:lvlJc w:val="left"/>
        <w:pPr>
          <w:tabs>
            <w:tab w:val="num" w:pos="567"/>
          </w:tabs>
          <w:ind w:left="567" w:hanging="567"/>
        </w:pPr>
      </w:lvl>
    </w:lvlOverride>
    <w:lvlOverride w:ilvl="6">
      <w:lvl w:ilvl="6">
        <w:start w:val="1"/>
        <w:numFmt w:val="decimal"/>
        <w:pStyle w:val="NTTDATATableBullet7"/>
        <w:lvlText w:val="%7."/>
        <w:lvlJc w:val="left"/>
        <w:pPr>
          <w:tabs>
            <w:tab w:val="num" w:pos="567"/>
          </w:tabs>
          <w:ind w:left="567" w:hanging="567"/>
        </w:pPr>
      </w:lvl>
    </w:lvlOverride>
    <w:lvlOverride w:ilvl="7">
      <w:lvl w:ilvl="7">
        <w:start w:val="1"/>
        <w:numFmt w:val="lowerLetter"/>
        <w:lvlText w:val="%8."/>
        <w:lvlJc w:val="left"/>
        <w:pPr>
          <w:tabs>
            <w:tab w:val="num" w:pos="1134"/>
          </w:tabs>
          <w:ind w:left="1134" w:hanging="567"/>
        </w:pPr>
      </w:lvl>
    </w:lvlOverride>
    <w:lvlOverride w:ilvl="8">
      <w:lvl w:ilvl="8">
        <w:start w:val="1"/>
        <w:numFmt w:val="lowerRoman"/>
        <w:lvlText w:val="%9."/>
        <w:lvlJc w:val="left"/>
        <w:pPr>
          <w:tabs>
            <w:tab w:val="num" w:pos="1701"/>
          </w:tabs>
          <w:ind w:left="1701" w:hanging="567"/>
        </w:pPr>
      </w:lvl>
    </w:lvlOverride>
  </w:num>
  <w:num w:numId="3" w16cid:durableId="1049841814">
    <w:abstractNumId w:val="2"/>
  </w:num>
  <w:num w:numId="4" w16cid:durableId="1218661965">
    <w:abstractNumId w:val="8"/>
  </w:num>
  <w:num w:numId="5" w16cid:durableId="1882672173">
    <w:abstractNumId w:val="2"/>
    <w:lvlOverride w:ilvl="0">
      <w:lvl w:ilvl="0">
        <w:start w:val="1"/>
        <w:numFmt w:val="bullet"/>
        <w:pStyle w:val="NTTDATABullet1"/>
        <w:lvlText w:val="●"/>
        <w:lvlJc w:val="left"/>
        <w:pPr>
          <w:tabs>
            <w:tab w:val="num" w:pos="1134"/>
          </w:tabs>
          <w:ind w:left="1134" w:hanging="283"/>
        </w:pPr>
      </w:lvl>
    </w:lvlOverride>
  </w:num>
  <w:num w:numId="6" w16cid:durableId="89932287">
    <w:abstractNumId w:val="16"/>
    <w:lvlOverride w:ilvl="0">
      <w:lvl w:ilvl="0">
        <w:numFmt w:val="decimal"/>
        <w:lvlText w:val=""/>
        <w:lvlJc w:val="left"/>
      </w:lvl>
    </w:lvlOverride>
    <w:lvlOverride w:ilvl="1">
      <w:lvl w:ilvl="1">
        <w:start w:val="1"/>
        <w:numFmt w:val="bullet"/>
        <w:pStyle w:val="NTTDATATableBullet2"/>
        <w:lvlText w:val="○"/>
        <w:lvlJc w:val="left"/>
        <w:pPr>
          <w:tabs>
            <w:tab w:val="num" w:pos="567"/>
          </w:tabs>
          <w:ind w:left="567" w:hanging="283"/>
        </w:pPr>
      </w:lvl>
    </w:lvlOverride>
    <w:lvlOverride w:ilvl="2">
      <w:lvl w:ilvl="2">
        <w:start w:val="1"/>
        <w:numFmt w:val="bullet"/>
        <w:pStyle w:val="NTTDATATableBullet3"/>
        <w:lvlText w:val="-"/>
        <w:lvlJc w:val="left"/>
        <w:pPr>
          <w:tabs>
            <w:tab w:val="num" w:pos="851"/>
          </w:tabs>
          <w:ind w:left="851" w:hanging="284"/>
        </w:pPr>
      </w:lvl>
    </w:lvlOverride>
  </w:num>
  <w:num w:numId="7" w16cid:durableId="12449959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7639401">
    <w:abstractNumId w:val="15"/>
    <w:lvlOverride w:ilvl="0">
      <w:lvl w:ilvl="0">
        <w:numFmt w:val="decimal"/>
        <w:lvlText w:val=""/>
        <w:lvlJc w:val="left"/>
      </w:lvl>
    </w:lvlOverride>
    <w:lvlOverride w:ilvl="1">
      <w:lvl w:ilvl="1">
        <w:start w:val="1"/>
        <w:numFmt w:val="bullet"/>
        <w:lvlText w:val="●"/>
        <w:lvlJc w:val="left"/>
        <w:pPr>
          <w:tabs>
            <w:tab w:val="num" w:pos="851"/>
          </w:tabs>
          <w:ind w:left="1134" w:hanging="283"/>
        </w:pPr>
      </w:lvl>
    </w:lvlOverride>
    <w:lvlOverride w:ilvl="2">
      <w:lvl w:ilvl="2">
        <w:start w:val="1"/>
        <w:numFmt w:val="bullet"/>
        <w:pStyle w:val="NTTDATABoldBullet"/>
        <w:lvlText w:val="●"/>
        <w:lvlJc w:val="left"/>
        <w:pPr>
          <w:tabs>
            <w:tab w:val="num" w:pos="851"/>
          </w:tabs>
          <w:ind w:left="1134" w:hanging="283"/>
        </w:pPr>
        <w:rPr>
          <w:rFonts w:ascii="Arial" w:hAnsi="Arial" w:hint="default"/>
          <w:color w:val="000000"/>
          <w:sz w:val="20"/>
        </w:rPr>
      </w:lvl>
    </w:lvlOverride>
    <w:lvlOverride w:ilvl="3">
      <w:lvl w:ilvl="3">
        <w:start w:val="1"/>
        <w:numFmt w:val="bullet"/>
        <w:lvlText w:val="●"/>
        <w:lvlJc w:val="left"/>
        <w:pPr>
          <w:ind w:left="1134" w:hanging="283"/>
        </w:pPr>
      </w:lvl>
    </w:lvlOverride>
  </w:num>
  <w:num w:numId="9" w16cid:durableId="729184350">
    <w:abstractNumId w:val="7"/>
  </w:num>
  <w:num w:numId="10" w16cid:durableId="844054351">
    <w:abstractNumId w:val="0"/>
  </w:num>
  <w:num w:numId="11" w16cid:durableId="1632633936">
    <w:abstractNumId w:val="9"/>
  </w:num>
  <w:num w:numId="12" w16cid:durableId="513769008">
    <w:abstractNumId w:val="11"/>
    <w:lvlOverride w:ilvl="0">
      <w:lvl w:ilvl="0">
        <w:start w:val="1"/>
        <w:numFmt w:val="upperLetter"/>
        <w:pStyle w:val="AppendixHeading1"/>
        <w:lvlText w:val="Appendix %1"/>
        <w:lvlJc w:val="left"/>
        <w:pPr>
          <w:ind w:left="360" w:hanging="360"/>
        </w:pPr>
        <w:rPr>
          <w:rFonts w:ascii="Georgia" w:hAnsi="Georgia" w:cs="Arial" w:hint="default"/>
          <w:color w:val="0072BC"/>
          <w:kern w:val="20"/>
          <w:sz w:val="28"/>
          <w:szCs w:val="28"/>
        </w:rPr>
      </w:lvl>
    </w:lvlOverride>
    <w:lvlOverride w:ilvl="1">
      <w:lvl w:ilvl="1">
        <w:start w:val="1"/>
        <w:numFmt w:val="decimal"/>
        <w:pStyle w:val="AppendixHeading2"/>
        <w:lvlText w:val="Appendix %1.%2"/>
        <w:lvlJc w:val="left"/>
        <w:pPr>
          <w:ind w:left="0" w:firstLine="0"/>
        </w:pPr>
        <w:rPr>
          <w:rFonts w:hint="default"/>
          <w:color w:val="2E404D" w:themeColor="text2"/>
          <w:sz w:val="22"/>
          <w:szCs w:val="22"/>
        </w:rPr>
      </w:lvl>
    </w:lvlOverride>
    <w:lvlOverride w:ilvl="2">
      <w:lvl w:ilvl="2">
        <w:start w:val="1"/>
        <w:numFmt w:val="decimal"/>
        <w:pStyle w:val="AppendixHeading3"/>
        <w:lvlText w:val="Appendix %1.%2.%3"/>
        <w:lvlJc w:val="left"/>
        <w:pPr>
          <w:ind w:left="0" w:firstLine="0"/>
        </w:pPr>
        <w:rPr>
          <w:rFonts w:ascii="Arial" w:hAnsi="Arial" w:hint="default"/>
          <w:color w:val="000000"/>
          <w:sz w:val="22"/>
          <w:szCs w:val="22"/>
        </w:rPr>
      </w:lvl>
    </w:lvlOverride>
  </w:num>
  <w:num w:numId="13" w16cid:durableId="259266958">
    <w:abstractNumId w:val="10"/>
  </w:num>
  <w:num w:numId="14" w16cid:durableId="1224296146">
    <w:abstractNumId w:val="24"/>
    <w:lvlOverride w:ilvl="0">
      <w:lvl w:ilvl="0">
        <w:start w:val="1"/>
        <w:numFmt w:val="bullet"/>
        <w:pStyle w:val="Bullet"/>
        <w:lvlText w:val="●"/>
        <w:lvlJc w:val="left"/>
        <w:pPr>
          <w:ind w:left="284" w:hanging="284"/>
        </w:pPr>
        <w:rPr>
          <w:rFonts w:ascii="Arial" w:hAnsi="Arial" w:hint="default"/>
          <w:b w:val="0"/>
          <w:i w:val="0"/>
          <w:color w:val="000000"/>
          <w:kern w:val="20"/>
          <w:sz w:val="20"/>
        </w:rPr>
      </w:lvl>
    </w:lvlOverride>
    <w:lvlOverride w:ilvl="1">
      <w:lvl w:ilvl="1">
        <w:start w:val="1"/>
        <w:numFmt w:val="bullet"/>
        <w:pStyle w:val="BulletLevel2"/>
        <w:lvlText w:val="○"/>
        <w:lvlJc w:val="left"/>
        <w:pPr>
          <w:ind w:left="567" w:hanging="283"/>
        </w:pPr>
        <w:rPr>
          <w:rFonts w:ascii="Arial" w:hAnsi="Arial" w:cs="Times New Roman" w:hint="default"/>
          <w:b w:val="0"/>
          <w:i w:val="0"/>
          <w:color w:val="000000"/>
          <w:sz w:val="20"/>
        </w:rPr>
      </w:lvl>
    </w:lvlOverride>
    <w:lvlOverride w:ilvl="2">
      <w:lvl w:ilvl="2">
        <w:start w:val="1"/>
        <w:numFmt w:val="bullet"/>
        <w:pStyle w:val="BulletLevel3"/>
        <w:lvlText w:val="-"/>
        <w:lvlJc w:val="left"/>
        <w:pPr>
          <w:ind w:left="851" w:hanging="284"/>
        </w:pPr>
        <w:rPr>
          <w:rFonts w:ascii="Arial" w:hAnsi="Arial" w:cs="Times New Roman" w:hint="default"/>
          <w:b w:val="0"/>
          <w:i w:val="0"/>
          <w:color w:val="000000"/>
          <w:sz w:val="20"/>
        </w:rPr>
      </w:lvl>
    </w:lvlOverride>
    <w:lvlOverride w:ilvl="3">
      <w:lvl w:ilvl="3">
        <w:start w:val="1"/>
        <w:numFmt w:val="decimal"/>
        <w:isLgl/>
        <w:lvlText w:val="%4."/>
        <w:lvlJc w:val="left"/>
        <w:pPr>
          <w:ind w:left="567" w:hanging="567"/>
        </w:pPr>
      </w:lvl>
    </w:lvlOverride>
    <w:lvlOverride w:ilvl="4">
      <w:lvl w:ilvl="4">
        <w:start w:val="1"/>
        <w:numFmt w:val="decimal"/>
        <w:isLgl/>
        <w:lvlText w:val="%4.%5"/>
        <w:lvlJc w:val="left"/>
        <w:pPr>
          <w:ind w:left="567" w:hanging="567"/>
        </w:pPr>
      </w:lvl>
    </w:lvlOverride>
    <w:lvlOverride w:ilvl="5">
      <w:lvl w:ilvl="5">
        <w:start w:val="1"/>
        <w:numFmt w:val="decimal"/>
        <w:isLgl/>
        <w:lvlText w:val="%4.%5.%6"/>
        <w:lvlJc w:val="left"/>
        <w:pPr>
          <w:ind w:left="567" w:hanging="567"/>
        </w:pPr>
      </w:lvl>
    </w:lvlOverride>
    <w:lvlOverride w:ilvl="6">
      <w:lvl w:ilvl="6">
        <w:start w:val="1"/>
        <w:numFmt w:val="decimal"/>
        <w:lvlText w:val="%7."/>
        <w:lvlJc w:val="left"/>
        <w:pPr>
          <w:ind w:left="567" w:hanging="567"/>
        </w:pPr>
        <w:rPr>
          <w:rFonts w:hint="default"/>
          <w:color w:val="000000"/>
        </w:rPr>
      </w:lvl>
    </w:lvlOverride>
    <w:lvlOverride w:ilvl="7">
      <w:lvl w:ilvl="7">
        <w:start w:val="1"/>
        <w:numFmt w:val="lowerLetter"/>
        <w:lvlText w:val="%8."/>
        <w:lvlJc w:val="left"/>
        <w:pPr>
          <w:ind w:left="1134" w:hanging="567"/>
        </w:pPr>
        <w:rPr>
          <w:rFonts w:hint="default"/>
          <w:color w:val="000000"/>
        </w:rPr>
      </w:lvl>
    </w:lvlOverride>
    <w:lvlOverride w:ilvl="8">
      <w:lvl w:ilvl="8">
        <w:start w:val="1"/>
        <w:numFmt w:val="lowerRoman"/>
        <w:lvlText w:val="%9."/>
        <w:lvlJc w:val="left"/>
        <w:pPr>
          <w:ind w:left="1701" w:hanging="567"/>
        </w:pPr>
        <w:rPr>
          <w:rFonts w:hint="default"/>
          <w:color w:val="000000"/>
        </w:rPr>
      </w:lvl>
    </w:lvlOverride>
  </w:num>
  <w:num w:numId="15" w16cid:durableId="1449355948">
    <w:abstractNumId w:val="14"/>
  </w:num>
  <w:num w:numId="16" w16cid:durableId="1112625131">
    <w:abstractNumId w:val="3"/>
  </w:num>
  <w:num w:numId="17" w16cid:durableId="177164644">
    <w:abstractNumId w:val="18"/>
  </w:num>
  <w:num w:numId="18" w16cid:durableId="362051521">
    <w:abstractNumId w:val="19"/>
  </w:num>
  <w:num w:numId="19" w16cid:durableId="1732534438">
    <w:abstractNumId w:val="12"/>
  </w:num>
  <w:num w:numId="20" w16cid:durableId="1181626391">
    <w:abstractNumId w:val="13"/>
  </w:num>
  <w:num w:numId="21" w16cid:durableId="770661869">
    <w:abstractNumId w:val="17"/>
  </w:num>
  <w:num w:numId="22" w16cid:durableId="610816517">
    <w:abstractNumId w:val="23"/>
  </w:num>
  <w:num w:numId="23" w16cid:durableId="167329869">
    <w:abstractNumId w:val="21"/>
  </w:num>
  <w:num w:numId="24" w16cid:durableId="98107813">
    <w:abstractNumId w:val="22"/>
  </w:num>
  <w:num w:numId="25" w16cid:durableId="1125152876">
    <w:abstractNumId w:val="6"/>
  </w:num>
  <w:num w:numId="26" w16cid:durableId="1632511790">
    <w:abstractNumId w:val="20"/>
  </w:num>
  <w:num w:numId="27" w16cid:durableId="26542651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051"/>
    <w:rsid w:val="00000290"/>
    <w:rsid w:val="00003961"/>
    <w:rsid w:val="00005B85"/>
    <w:rsid w:val="00007E40"/>
    <w:rsid w:val="00007E75"/>
    <w:rsid w:val="000115AE"/>
    <w:rsid w:val="00015970"/>
    <w:rsid w:val="0001714E"/>
    <w:rsid w:val="00017FEE"/>
    <w:rsid w:val="00021EDF"/>
    <w:rsid w:val="0002263F"/>
    <w:rsid w:val="0002407A"/>
    <w:rsid w:val="00024F12"/>
    <w:rsid w:val="000274F2"/>
    <w:rsid w:val="000323BE"/>
    <w:rsid w:val="00034CD3"/>
    <w:rsid w:val="00035DE0"/>
    <w:rsid w:val="00040430"/>
    <w:rsid w:val="0004099E"/>
    <w:rsid w:val="00041570"/>
    <w:rsid w:val="00041D81"/>
    <w:rsid w:val="0004242C"/>
    <w:rsid w:val="000433E6"/>
    <w:rsid w:val="00045EA2"/>
    <w:rsid w:val="000468DB"/>
    <w:rsid w:val="0005039A"/>
    <w:rsid w:val="000517EA"/>
    <w:rsid w:val="000527C0"/>
    <w:rsid w:val="0005313C"/>
    <w:rsid w:val="00055607"/>
    <w:rsid w:val="0006047F"/>
    <w:rsid w:val="000609A4"/>
    <w:rsid w:val="0006107A"/>
    <w:rsid w:val="0006332B"/>
    <w:rsid w:val="00063492"/>
    <w:rsid w:val="00063F40"/>
    <w:rsid w:val="00065506"/>
    <w:rsid w:val="000665F4"/>
    <w:rsid w:val="0006716F"/>
    <w:rsid w:val="000700D5"/>
    <w:rsid w:val="000737B3"/>
    <w:rsid w:val="000744E6"/>
    <w:rsid w:val="00074E27"/>
    <w:rsid w:val="00077906"/>
    <w:rsid w:val="00080405"/>
    <w:rsid w:val="0008094F"/>
    <w:rsid w:val="000838A6"/>
    <w:rsid w:val="000844A8"/>
    <w:rsid w:val="00087AB0"/>
    <w:rsid w:val="00087B72"/>
    <w:rsid w:val="00090CD0"/>
    <w:rsid w:val="00092FAB"/>
    <w:rsid w:val="0009728F"/>
    <w:rsid w:val="00097EDC"/>
    <w:rsid w:val="000A40F9"/>
    <w:rsid w:val="000A6681"/>
    <w:rsid w:val="000A6B60"/>
    <w:rsid w:val="000B08B9"/>
    <w:rsid w:val="000B1D87"/>
    <w:rsid w:val="000B2C67"/>
    <w:rsid w:val="000C4CE6"/>
    <w:rsid w:val="000C5455"/>
    <w:rsid w:val="000C717C"/>
    <w:rsid w:val="000D0D7C"/>
    <w:rsid w:val="000D1E19"/>
    <w:rsid w:val="000D1E53"/>
    <w:rsid w:val="000D39CF"/>
    <w:rsid w:val="000D64A5"/>
    <w:rsid w:val="000D6C31"/>
    <w:rsid w:val="000E3414"/>
    <w:rsid w:val="000E36F2"/>
    <w:rsid w:val="000E5BF0"/>
    <w:rsid w:val="000E79C2"/>
    <w:rsid w:val="000F26E1"/>
    <w:rsid w:val="000F2BF8"/>
    <w:rsid w:val="000F4E55"/>
    <w:rsid w:val="000F61DC"/>
    <w:rsid w:val="001029AB"/>
    <w:rsid w:val="00105F87"/>
    <w:rsid w:val="00110207"/>
    <w:rsid w:val="001120D8"/>
    <w:rsid w:val="001177DE"/>
    <w:rsid w:val="00121AA7"/>
    <w:rsid w:val="00130F1B"/>
    <w:rsid w:val="0013618C"/>
    <w:rsid w:val="0013667F"/>
    <w:rsid w:val="00136AF0"/>
    <w:rsid w:val="0015224D"/>
    <w:rsid w:val="001528EA"/>
    <w:rsid w:val="0015524B"/>
    <w:rsid w:val="00156261"/>
    <w:rsid w:val="001566EF"/>
    <w:rsid w:val="00163C9F"/>
    <w:rsid w:val="0016524F"/>
    <w:rsid w:val="00166358"/>
    <w:rsid w:val="00166A8F"/>
    <w:rsid w:val="0016739B"/>
    <w:rsid w:val="00171FB4"/>
    <w:rsid w:val="00173802"/>
    <w:rsid w:val="001839DC"/>
    <w:rsid w:val="0019223B"/>
    <w:rsid w:val="0019364C"/>
    <w:rsid w:val="00194A27"/>
    <w:rsid w:val="00196899"/>
    <w:rsid w:val="001A2B1C"/>
    <w:rsid w:val="001B2526"/>
    <w:rsid w:val="001B2722"/>
    <w:rsid w:val="001B3325"/>
    <w:rsid w:val="001B4701"/>
    <w:rsid w:val="001B6B73"/>
    <w:rsid w:val="001B6FA1"/>
    <w:rsid w:val="001B7269"/>
    <w:rsid w:val="001B78DD"/>
    <w:rsid w:val="001C17FF"/>
    <w:rsid w:val="001C289A"/>
    <w:rsid w:val="001C5D50"/>
    <w:rsid w:val="001C7579"/>
    <w:rsid w:val="001C7DE4"/>
    <w:rsid w:val="001D3608"/>
    <w:rsid w:val="001D44F0"/>
    <w:rsid w:val="001D5785"/>
    <w:rsid w:val="001D6BFC"/>
    <w:rsid w:val="001D7AD8"/>
    <w:rsid w:val="001E17C0"/>
    <w:rsid w:val="001E26B9"/>
    <w:rsid w:val="001E6B53"/>
    <w:rsid w:val="001E6B54"/>
    <w:rsid w:val="001F16B4"/>
    <w:rsid w:val="001F3950"/>
    <w:rsid w:val="001F5D40"/>
    <w:rsid w:val="00200761"/>
    <w:rsid w:val="00200851"/>
    <w:rsid w:val="00203E74"/>
    <w:rsid w:val="00206D5F"/>
    <w:rsid w:val="002073A5"/>
    <w:rsid w:val="0021493D"/>
    <w:rsid w:val="00220352"/>
    <w:rsid w:val="002245D3"/>
    <w:rsid w:val="0022573F"/>
    <w:rsid w:val="00226D33"/>
    <w:rsid w:val="00233C77"/>
    <w:rsid w:val="00234E0F"/>
    <w:rsid w:val="002405C3"/>
    <w:rsid w:val="00241C99"/>
    <w:rsid w:val="00241D70"/>
    <w:rsid w:val="00244B69"/>
    <w:rsid w:val="002474C0"/>
    <w:rsid w:val="00251212"/>
    <w:rsid w:val="002516BE"/>
    <w:rsid w:val="00252A11"/>
    <w:rsid w:val="002566F1"/>
    <w:rsid w:val="00257804"/>
    <w:rsid w:val="002601CE"/>
    <w:rsid w:val="00261F41"/>
    <w:rsid w:val="00263F18"/>
    <w:rsid w:val="00264A0B"/>
    <w:rsid w:val="00273C5F"/>
    <w:rsid w:val="00276838"/>
    <w:rsid w:val="00276902"/>
    <w:rsid w:val="002818CC"/>
    <w:rsid w:val="002833B9"/>
    <w:rsid w:val="00286EE7"/>
    <w:rsid w:val="0029164D"/>
    <w:rsid w:val="002921D0"/>
    <w:rsid w:val="00293E1B"/>
    <w:rsid w:val="002951FF"/>
    <w:rsid w:val="002A1E58"/>
    <w:rsid w:val="002A3108"/>
    <w:rsid w:val="002B2736"/>
    <w:rsid w:val="002B2E8E"/>
    <w:rsid w:val="002B41C2"/>
    <w:rsid w:val="002B50B4"/>
    <w:rsid w:val="002C14FA"/>
    <w:rsid w:val="002D4950"/>
    <w:rsid w:val="002D5C94"/>
    <w:rsid w:val="002E0609"/>
    <w:rsid w:val="002E0FC8"/>
    <w:rsid w:val="002E5F86"/>
    <w:rsid w:val="002E6DF2"/>
    <w:rsid w:val="002E75D6"/>
    <w:rsid w:val="002E7929"/>
    <w:rsid w:val="002F04C0"/>
    <w:rsid w:val="002F0C0F"/>
    <w:rsid w:val="002F63B9"/>
    <w:rsid w:val="002F6FAB"/>
    <w:rsid w:val="00300C38"/>
    <w:rsid w:val="00301F42"/>
    <w:rsid w:val="00303899"/>
    <w:rsid w:val="00304762"/>
    <w:rsid w:val="0030602F"/>
    <w:rsid w:val="00306407"/>
    <w:rsid w:val="00313222"/>
    <w:rsid w:val="0031324D"/>
    <w:rsid w:val="003144A7"/>
    <w:rsid w:val="00314CC2"/>
    <w:rsid w:val="00317EB1"/>
    <w:rsid w:val="003225B7"/>
    <w:rsid w:val="00322BA7"/>
    <w:rsid w:val="003240E1"/>
    <w:rsid w:val="00325166"/>
    <w:rsid w:val="00325782"/>
    <w:rsid w:val="00325B43"/>
    <w:rsid w:val="0032700D"/>
    <w:rsid w:val="00327041"/>
    <w:rsid w:val="00335811"/>
    <w:rsid w:val="0033601E"/>
    <w:rsid w:val="00336231"/>
    <w:rsid w:val="003364A4"/>
    <w:rsid w:val="003402D3"/>
    <w:rsid w:val="00342EFC"/>
    <w:rsid w:val="0034463E"/>
    <w:rsid w:val="003455A6"/>
    <w:rsid w:val="00345E55"/>
    <w:rsid w:val="00346ABA"/>
    <w:rsid w:val="00352134"/>
    <w:rsid w:val="003528AD"/>
    <w:rsid w:val="00353C88"/>
    <w:rsid w:val="0035680A"/>
    <w:rsid w:val="003573A5"/>
    <w:rsid w:val="00357C5C"/>
    <w:rsid w:val="00360B00"/>
    <w:rsid w:val="00362133"/>
    <w:rsid w:val="003768F0"/>
    <w:rsid w:val="00377BE6"/>
    <w:rsid w:val="00380132"/>
    <w:rsid w:val="00382304"/>
    <w:rsid w:val="003856B2"/>
    <w:rsid w:val="00387177"/>
    <w:rsid w:val="00390681"/>
    <w:rsid w:val="00392431"/>
    <w:rsid w:val="00394D3B"/>
    <w:rsid w:val="00396107"/>
    <w:rsid w:val="003A2491"/>
    <w:rsid w:val="003A35DF"/>
    <w:rsid w:val="003A4083"/>
    <w:rsid w:val="003A672B"/>
    <w:rsid w:val="003A6929"/>
    <w:rsid w:val="003B0323"/>
    <w:rsid w:val="003B189A"/>
    <w:rsid w:val="003B60E3"/>
    <w:rsid w:val="003B6C7A"/>
    <w:rsid w:val="003B751A"/>
    <w:rsid w:val="003C2784"/>
    <w:rsid w:val="003C5FC5"/>
    <w:rsid w:val="003C605F"/>
    <w:rsid w:val="003C7AD3"/>
    <w:rsid w:val="003D071A"/>
    <w:rsid w:val="003D12EC"/>
    <w:rsid w:val="003D3683"/>
    <w:rsid w:val="003D3A54"/>
    <w:rsid w:val="003D4072"/>
    <w:rsid w:val="003D475D"/>
    <w:rsid w:val="003D63E9"/>
    <w:rsid w:val="003E0376"/>
    <w:rsid w:val="003E0A16"/>
    <w:rsid w:val="003E17A8"/>
    <w:rsid w:val="003E307D"/>
    <w:rsid w:val="003E3C2F"/>
    <w:rsid w:val="003E488D"/>
    <w:rsid w:val="003E4A69"/>
    <w:rsid w:val="003E4F03"/>
    <w:rsid w:val="003F0900"/>
    <w:rsid w:val="003F66EC"/>
    <w:rsid w:val="004004D9"/>
    <w:rsid w:val="00403817"/>
    <w:rsid w:val="00404002"/>
    <w:rsid w:val="0040405A"/>
    <w:rsid w:val="004053F9"/>
    <w:rsid w:val="00407F62"/>
    <w:rsid w:val="004102DE"/>
    <w:rsid w:val="0041140F"/>
    <w:rsid w:val="004125F9"/>
    <w:rsid w:val="00412CB2"/>
    <w:rsid w:val="00413A77"/>
    <w:rsid w:val="004177A0"/>
    <w:rsid w:val="00420B06"/>
    <w:rsid w:val="004214D7"/>
    <w:rsid w:val="0042286E"/>
    <w:rsid w:val="0042322D"/>
    <w:rsid w:val="0042400E"/>
    <w:rsid w:val="00424D85"/>
    <w:rsid w:val="00426C37"/>
    <w:rsid w:val="0042739E"/>
    <w:rsid w:val="0042781D"/>
    <w:rsid w:val="00430BB1"/>
    <w:rsid w:val="004312B5"/>
    <w:rsid w:val="00431624"/>
    <w:rsid w:val="00432C25"/>
    <w:rsid w:val="0043434E"/>
    <w:rsid w:val="004357DD"/>
    <w:rsid w:val="00435CAE"/>
    <w:rsid w:val="0043634A"/>
    <w:rsid w:val="00436FDB"/>
    <w:rsid w:val="00437584"/>
    <w:rsid w:val="0044104B"/>
    <w:rsid w:val="00443962"/>
    <w:rsid w:val="004467A5"/>
    <w:rsid w:val="004554EA"/>
    <w:rsid w:val="004611C6"/>
    <w:rsid w:val="00462F14"/>
    <w:rsid w:val="00464B1F"/>
    <w:rsid w:val="004703D8"/>
    <w:rsid w:val="00472877"/>
    <w:rsid w:val="00474489"/>
    <w:rsid w:val="004777A3"/>
    <w:rsid w:val="00480584"/>
    <w:rsid w:val="00483398"/>
    <w:rsid w:val="00483546"/>
    <w:rsid w:val="0048541E"/>
    <w:rsid w:val="00486632"/>
    <w:rsid w:val="0049045D"/>
    <w:rsid w:val="004905CA"/>
    <w:rsid w:val="00490E0D"/>
    <w:rsid w:val="00490E94"/>
    <w:rsid w:val="00491689"/>
    <w:rsid w:val="0049383B"/>
    <w:rsid w:val="00493EA0"/>
    <w:rsid w:val="00496202"/>
    <w:rsid w:val="0049741E"/>
    <w:rsid w:val="004A2853"/>
    <w:rsid w:val="004A331C"/>
    <w:rsid w:val="004A3327"/>
    <w:rsid w:val="004A41AB"/>
    <w:rsid w:val="004A432C"/>
    <w:rsid w:val="004A5653"/>
    <w:rsid w:val="004B277B"/>
    <w:rsid w:val="004B53D9"/>
    <w:rsid w:val="004B7585"/>
    <w:rsid w:val="004C2406"/>
    <w:rsid w:val="004C51F1"/>
    <w:rsid w:val="004C6CA4"/>
    <w:rsid w:val="004D0BBC"/>
    <w:rsid w:val="004D35A5"/>
    <w:rsid w:val="004D6BFC"/>
    <w:rsid w:val="004D7011"/>
    <w:rsid w:val="004E08F3"/>
    <w:rsid w:val="004E0A87"/>
    <w:rsid w:val="004E11FE"/>
    <w:rsid w:val="004E2DD9"/>
    <w:rsid w:val="004E3244"/>
    <w:rsid w:val="004E5D8C"/>
    <w:rsid w:val="004F2BE2"/>
    <w:rsid w:val="004F499A"/>
    <w:rsid w:val="004F6B57"/>
    <w:rsid w:val="004F71FC"/>
    <w:rsid w:val="00500E20"/>
    <w:rsid w:val="00507AF6"/>
    <w:rsid w:val="005118B0"/>
    <w:rsid w:val="005127EF"/>
    <w:rsid w:val="0051300F"/>
    <w:rsid w:val="00514BCF"/>
    <w:rsid w:val="00516DCF"/>
    <w:rsid w:val="00520C6D"/>
    <w:rsid w:val="00522EE4"/>
    <w:rsid w:val="00522EF9"/>
    <w:rsid w:val="00523382"/>
    <w:rsid w:val="00524470"/>
    <w:rsid w:val="00524F9E"/>
    <w:rsid w:val="00526F58"/>
    <w:rsid w:val="005311C6"/>
    <w:rsid w:val="005315DC"/>
    <w:rsid w:val="005339F1"/>
    <w:rsid w:val="00534DF6"/>
    <w:rsid w:val="00535D4E"/>
    <w:rsid w:val="00543BD3"/>
    <w:rsid w:val="00546641"/>
    <w:rsid w:val="005475C3"/>
    <w:rsid w:val="0055448E"/>
    <w:rsid w:val="00555AF1"/>
    <w:rsid w:val="00560771"/>
    <w:rsid w:val="00561FB3"/>
    <w:rsid w:val="0056321F"/>
    <w:rsid w:val="00565C58"/>
    <w:rsid w:val="00567026"/>
    <w:rsid w:val="005675A2"/>
    <w:rsid w:val="0057139C"/>
    <w:rsid w:val="00573BFC"/>
    <w:rsid w:val="00583426"/>
    <w:rsid w:val="00586716"/>
    <w:rsid w:val="00586880"/>
    <w:rsid w:val="005872FC"/>
    <w:rsid w:val="00587448"/>
    <w:rsid w:val="0059200F"/>
    <w:rsid w:val="00594A58"/>
    <w:rsid w:val="005959EA"/>
    <w:rsid w:val="005969B0"/>
    <w:rsid w:val="00597312"/>
    <w:rsid w:val="00597F6F"/>
    <w:rsid w:val="005A01F7"/>
    <w:rsid w:val="005A39EB"/>
    <w:rsid w:val="005A4D21"/>
    <w:rsid w:val="005A6B61"/>
    <w:rsid w:val="005A7749"/>
    <w:rsid w:val="005A7F6B"/>
    <w:rsid w:val="005B131E"/>
    <w:rsid w:val="005B3B1D"/>
    <w:rsid w:val="005B3CAF"/>
    <w:rsid w:val="005B4891"/>
    <w:rsid w:val="005B7EFE"/>
    <w:rsid w:val="005C21AB"/>
    <w:rsid w:val="005C231A"/>
    <w:rsid w:val="005C44CC"/>
    <w:rsid w:val="005C4D0B"/>
    <w:rsid w:val="005C4DCB"/>
    <w:rsid w:val="005D025B"/>
    <w:rsid w:val="005D096C"/>
    <w:rsid w:val="005D315C"/>
    <w:rsid w:val="005D6334"/>
    <w:rsid w:val="005D7DA1"/>
    <w:rsid w:val="005E5458"/>
    <w:rsid w:val="005F1C66"/>
    <w:rsid w:val="005F2075"/>
    <w:rsid w:val="005F40FB"/>
    <w:rsid w:val="005F4A22"/>
    <w:rsid w:val="005F7B55"/>
    <w:rsid w:val="00600C59"/>
    <w:rsid w:val="0060194C"/>
    <w:rsid w:val="00611FF2"/>
    <w:rsid w:val="006126B0"/>
    <w:rsid w:val="006131AB"/>
    <w:rsid w:val="00614FC5"/>
    <w:rsid w:val="00616D5D"/>
    <w:rsid w:val="0062106E"/>
    <w:rsid w:val="00622A39"/>
    <w:rsid w:val="00623527"/>
    <w:rsid w:val="00625ABF"/>
    <w:rsid w:val="00625EA7"/>
    <w:rsid w:val="00626BD7"/>
    <w:rsid w:val="00627B2B"/>
    <w:rsid w:val="00627CC5"/>
    <w:rsid w:val="006313A9"/>
    <w:rsid w:val="00631CB0"/>
    <w:rsid w:val="00632966"/>
    <w:rsid w:val="0063383A"/>
    <w:rsid w:val="00643C09"/>
    <w:rsid w:val="006475BC"/>
    <w:rsid w:val="00651A50"/>
    <w:rsid w:val="0065542B"/>
    <w:rsid w:val="006569FC"/>
    <w:rsid w:val="0065762F"/>
    <w:rsid w:val="00663407"/>
    <w:rsid w:val="00663BF4"/>
    <w:rsid w:val="00665D0B"/>
    <w:rsid w:val="00670FAA"/>
    <w:rsid w:val="00673906"/>
    <w:rsid w:val="006743CB"/>
    <w:rsid w:val="00676140"/>
    <w:rsid w:val="006818A3"/>
    <w:rsid w:val="00684474"/>
    <w:rsid w:val="00684BE6"/>
    <w:rsid w:val="00690222"/>
    <w:rsid w:val="00690285"/>
    <w:rsid w:val="0069242B"/>
    <w:rsid w:val="006947F9"/>
    <w:rsid w:val="006A31D2"/>
    <w:rsid w:val="006A44C8"/>
    <w:rsid w:val="006B0F6B"/>
    <w:rsid w:val="006B7921"/>
    <w:rsid w:val="006C0EED"/>
    <w:rsid w:val="006C165B"/>
    <w:rsid w:val="006C232E"/>
    <w:rsid w:val="006C2ECB"/>
    <w:rsid w:val="006C3AA2"/>
    <w:rsid w:val="006C3ED2"/>
    <w:rsid w:val="006C5617"/>
    <w:rsid w:val="006C620E"/>
    <w:rsid w:val="006D04E8"/>
    <w:rsid w:val="006D7EB2"/>
    <w:rsid w:val="006E0B02"/>
    <w:rsid w:val="006E1223"/>
    <w:rsid w:val="006E1606"/>
    <w:rsid w:val="006E23C8"/>
    <w:rsid w:val="006F3B68"/>
    <w:rsid w:val="006F4F2D"/>
    <w:rsid w:val="006F66C6"/>
    <w:rsid w:val="006F7A72"/>
    <w:rsid w:val="0070045C"/>
    <w:rsid w:val="00702A7E"/>
    <w:rsid w:val="00704A52"/>
    <w:rsid w:val="00705AEC"/>
    <w:rsid w:val="00707C1C"/>
    <w:rsid w:val="00707C74"/>
    <w:rsid w:val="007133E9"/>
    <w:rsid w:val="00715E84"/>
    <w:rsid w:val="00721DCE"/>
    <w:rsid w:val="00723D3D"/>
    <w:rsid w:val="0072402E"/>
    <w:rsid w:val="00726639"/>
    <w:rsid w:val="00727CF4"/>
    <w:rsid w:val="007318BA"/>
    <w:rsid w:val="007354F3"/>
    <w:rsid w:val="0073692F"/>
    <w:rsid w:val="00742376"/>
    <w:rsid w:val="00744F63"/>
    <w:rsid w:val="00746BE1"/>
    <w:rsid w:val="0074771F"/>
    <w:rsid w:val="007524CE"/>
    <w:rsid w:val="00755038"/>
    <w:rsid w:val="0075623F"/>
    <w:rsid w:val="00761414"/>
    <w:rsid w:val="0076141E"/>
    <w:rsid w:val="00762711"/>
    <w:rsid w:val="00764200"/>
    <w:rsid w:val="007645CA"/>
    <w:rsid w:val="00765C83"/>
    <w:rsid w:val="0076790C"/>
    <w:rsid w:val="00767AAD"/>
    <w:rsid w:val="00767F75"/>
    <w:rsid w:val="0077073C"/>
    <w:rsid w:val="00773B76"/>
    <w:rsid w:val="0078116D"/>
    <w:rsid w:val="00781F5F"/>
    <w:rsid w:val="00782DF5"/>
    <w:rsid w:val="007836BA"/>
    <w:rsid w:val="007852AB"/>
    <w:rsid w:val="00786EEE"/>
    <w:rsid w:val="00787083"/>
    <w:rsid w:val="007919B8"/>
    <w:rsid w:val="00793C20"/>
    <w:rsid w:val="00795560"/>
    <w:rsid w:val="007A03B6"/>
    <w:rsid w:val="007A130A"/>
    <w:rsid w:val="007A1A1C"/>
    <w:rsid w:val="007A3A85"/>
    <w:rsid w:val="007A5A9D"/>
    <w:rsid w:val="007B0476"/>
    <w:rsid w:val="007B1435"/>
    <w:rsid w:val="007B32F8"/>
    <w:rsid w:val="007B37AB"/>
    <w:rsid w:val="007B69B1"/>
    <w:rsid w:val="007B6B17"/>
    <w:rsid w:val="007B7428"/>
    <w:rsid w:val="007C09A5"/>
    <w:rsid w:val="007C26AD"/>
    <w:rsid w:val="007C39FA"/>
    <w:rsid w:val="007C6EA0"/>
    <w:rsid w:val="007D2D21"/>
    <w:rsid w:val="007D3224"/>
    <w:rsid w:val="007D3C36"/>
    <w:rsid w:val="007D3CAB"/>
    <w:rsid w:val="007D4B16"/>
    <w:rsid w:val="007D4D3B"/>
    <w:rsid w:val="007D62E6"/>
    <w:rsid w:val="007D70D4"/>
    <w:rsid w:val="007E2F2C"/>
    <w:rsid w:val="007E519A"/>
    <w:rsid w:val="007E5DDB"/>
    <w:rsid w:val="007E6721"/>
    <w:rsid w:val="007F1DAB"/>
    <w:rsid w:val="007F1E32"/>
    <w:rsid w:val="007F2A36"/>
    <w:rsid w:val="007F3427"/>
    <w:rsid w:val="007F37BC"/>
    <w:rsid w:val="007F4A13"/>
    <w:rsid w:val="00803A20"/>
    <w:rsid w:val="00803ADB"/>
    <w:rsid w:val="00806B27"/>
    <w:rsid w:val="008076C4"/>
    <w:rsid w:val="00810172"/>
    <w:rsid w:val="00812AF6"/>
    <w:rsid w:val="00816432"/>
    <w:rsid w:val="00817385"/>
    <w:rsid w:val="00821393"/>
    <w:rsid w:val="00824EC5"/>
    <w:rsid w:val="0083153F"/>
    <w:rsid w:val="00831DCF"/>
    <w:rsid w:val="00831FD5"/>
    <w:rsid w:val="0083260D"/>
    <w:rsid w:val="00833F02"/>
    <w:rsid w:val="00837BA6"/>
    <w:rsid w:val="00850EDB"/>
    <w:rsid w:val="0085122C"/>
    <w:rsid w:val="00863153"/>
    <w:rsid w:val="0086473A"/>
    <w:rsid w:val="008649DB"/>
    <w:rsid w:val="00867274"/>
    <w:rsid w:val="008720A6"/>
    <w:rsid w:val="0087425A"/>
    <w:rsid w:val="00874A31"/>
    <w:rsid w:val="00874DF5"/>
    <w:rsid w:val="0087580E"/>
    <w:rsid w:val="00875973"/>
    <w:rsid w:val="00876C96"/>
    <w:rsid w:val="0088012B"/>
    <w:rsid w:val="00880C11"/>
    <w:rsid w:val="008818E1"/>
    <w:rsid w:val="0088421F"/>
    <w:rsid w:val="0088676D"/>
    <w:rsid w:val="008867F4"/>
    <w:rsid w:val="008870B1"/>
    <w:rsid w:val="008903BE"/>
    <w:rsid w:val="008923D1"/>
    <w:rsid w:val="008926C3"/>
    <w:rsid w:val="00892C6B"/>
    <w:rsid w:val="00893996"/>
    <w:rsid w:val="008939C6"/>
    <w:rsid w:val="008939F8"/>
    <w:rsid w:val="00894FC9"/>
    <w:rsid w:val="0089768F"/>
    <w:rsid w:val="008A1196"/>
    <w:rsid w:val="008A1C37"/>
    <w:rsid w:val="008A7C7F"/>
    <w:rsid w:val="008B02C6"/>
    <w:rsid w:val="008B09D3"/>
    <w:rsid w:val="008B6C77"/>
    <w:rsid w:val="008B6D34"/>
    <w:rsid w:val="008C0602"/>
    <w:rsid w:val="008C1208"/>
    <w:rsid w:val="008C3F17"/>
    <w:rsid w:val="008C7C4B"/>
    <w:rsid w:val="008C7E75"/>
    <w:rsid w:val="008D1492"/>
    <w:rsid w:val="008D191F"/>
    <w:rsid w:val="008D2AA9"/>
    <w:rsid w:val="008D311C"/>
    <w:rsid w:val="008D7768"/>
    <w:rsid w:val="008D783B"/>
    <w:rsid w:val="008D7880"/>
    <w:rsid w:val="008E069D"/>
    <w:rsid w:val="008E0C06"/>
    <w:rsid w:val="008E1313"/>
    <w:rsid w:val="008F269D"/>
    <w:rsid w:val="008F4C7B"/>
    <w:rsid w:val="008F6799"/>
    <w:rsid w:val="008F6E80"/>
    <w:rsid w:val="009005C9"/>
    <w:rsid w:val="00905D8A"/>
    <w:rsid w:val="00907F64"/>
    <w:rsid w:val="00911702"/>
    <w:rsid w:val="00911985"/>
    <w:rsid w:val="009168DE"/>
    <w:rsid w:val="00924ED3"/>
    <w:rsid w:val="0092589C"/>
    <w:rsid w:val="00926311"/>
    <w:rsid w:val="00931AE0"/>
    <w:rsid w:val="0093724C"/>
    <w:rsid w:val="00937670"/>
    <w:rsid w:val="0094215A"/>
    <w:rsid w:val="0094360D"/>
    <w:rsid w:val="00944D57"/>
    <w:rsid w:val="009465C3"/>
    <w:rsid w:val="00950119"/>
    <w:rsid w:val="00951F36"/>
    <w:rsid w:val="00952235"/>
    <w:rsid w:val="009546E8"/>
    <w:rsid w:val="009560A1"/>
    <w:rsid w:val="009569F0"/>
    <w:rsid w:val="00964C8B"/>
    <w:rsid w:val="0096516C"/>
    <w:rsid w:val="00972F90"/>
    <w:rsid w:val="00973478"/>
    <w:rsid w:val="00973883"/>
    <w:rsid w:val="009758AA"/>
    <w:rsid w:val="00980C67"/>
    <w:rsid w:val="00980DF9"/>
    <w:rsid w:val="00983C7D"/>
    <w:rsid w:val="00984AF2"/>
    <w:rsid w:val="00987A48"/>
    <w:rsid w:val="009917C6"/>
    <w:rsid w:val="00992C24"/>
    <w:rsid w:val="00997F3C"/>
    <w:rsid w:val="009A1D0F"/>
    <w:rsid w:val="009A6752"/>
    <w:rsid w:val="009A6A2B"/>
    <w:rsid w:val="009A76B5"/>
    <w:rsid w:val="009B01ED"/>
    <w:rsid w:val="009B07A9"/>
    <w:rsid w:val="009B2418"/>
    <w:rsid w:val="009B5D63"/>
    <w:rsid w:val="009B65FD"/>
    <w:rsid w:val="009B6799"/>
    <w:rsid w:val="009B7770"/>
    <w:rsid w:val="009C31AA"/>
    <w:rsid w:val="009C3E0A"/>
    <w:rsid w:val="009C5837"/>
    <w:rsid w:val="009D180C"/>
    <w:rsid w:val="009D3BEB"/>
    <w:rsid w:val="009D63FA"/>
    <w:rsid w:val="009D6471"/>
    <w:rsid w:val="009D6CFA"/>
    <w:rsid w:val="009D726B"/>
    <w:rsid w:val="009D7F24"/>
    <w:rsid w:val="009E02A4"/>
    <w:rsid w:val="009E11B7"/>
    <w:rsid w:val="009E36BD"/>
    <w:rsid w:val="009E3CCB"/>
    <w:rsid w:val="009E644E"/>
    <w:rsid w:val="009E6816"/>
    <w:rsid w:val="009E7140"/>
    <w:rsid w:val="009F1A55"/>
    <w:rsid w:val="009F2C23"/>
    <w:rsid w:val="009F2EBA"/>
    <w:rsid w:val="009F42E7"/>
    <w:rsid w:val="00A01ABF"/>
    <w:rsid w:val="00A03D0B"/>
    <w:rsid w:val="00A05091"/>
    <w:rsid w:val="00A05A30"/>
    <w:rsid w:val="00A05B16"/>
    <w:rsid w:val="00A074C9"/>
    <w:rsid w:val="00A10493"/>
    <w:rsid w:val="00A11585"/>
    <w:rsid w:val="00A132D6"/>
    <w:rsid w:val="00A1413C"/>
    <w:rsid w:val="00A1508A"/>
    <w:rsid w:val="00A16D71"/>
    <w:rsid w:val="00A17653"/>
    <w:rsid w:val="00A24C60"/>
    <w:rsid w:val="00A24E3D"/>
    <w:rsid w:val="00A353F5"/>
    <w:rsid w:val="00A35E96"/>
    <w:rsid w:val="00A40FAF"/>
    <w:rsid w:val="00A420BE"/>
    <w:rsid w:val="00A4325A"/>
    <w:rsid w:val="00A43A63"/>
    <w:rsid w:val="00A43CFD"/>
    <w:rsid w:val="00A43D19"/>
    <w:rsid w:val="00A515C0"/>
    <w:rsid w:val="00A52250"/>
    <w:rsid w:val="00A52D05"/>
    <w:rsid w:val="00A61308"/>
    <w:rsid w:val="00A6142F"/>
    <w:rsid w:val="00A63F82"/>
    <w:rsid w:val="00A6405E"/>
    <w:rsid w:val="00A64A80"/>
    <w:rsid w:val="00A651FB"/>
    <w:rsid w:val="00A701B2"/>
    <w:rsid w:val="00A70B50"/>
    <w:rsid w:val="00A70D9D"/>
    <w:rsid w:val="00A712C9"/>
    <w:rsid w:val="00A71A02"/>
    <w:rsid w:val="00A7210D"/>
    <w:rsid w:val="00A733C8"/>
    <w:rsid w:val="00A7631D"/>
    <w:rsid w:val="00A769FC"/>
    <w:rsid w:val="00A8049D"/>
    <w:rsid w:val="00A829C9"/>
    <w:rsid w:val="00A8512B"/>
    <w:rsid w:val="00A97E47"/>
    <w:rsid w:val="00A97E95"/>
    <w:rsid w:val="00AA1FEA"/>
    <w:rsid w:val="00AA3647"/>
    <w:rsid w:val="00AA550C"/>
    <w:rsid w:val="00AB0CEA"/>
    <w:rsid w:val="00AB27FF"/>
    <w:rsid w:val="00AB3080"/>
    <w:rsid w:val="00AB30BF"/>
    <w:rsid w:val="00AB5773"/>
    <w:rsid w:val="00AB7488"/>
    <w:rsid w:val="00AC0AD2"/>
    <w:rsid w:val="00AC0EAA"/>
    <w:rsid w:val="00AC2178"/>
    <w:rsid w:val="00AC3043"/>
    <w:rsid w:val="00AD2E63"/>
    <w:rsid w:val="00AD303E"/>
    <w:rsid w:val="00AE3C79"/>
    <w:rsid w:val="00AE42AC"/>
    <w:rsid w:val="00AE4C1A"/>
    <w:rsid w:val="00AE516C"/>
    <w:rsid w:val="00AE5238"/>
    <w:rsid w:val="00AF011C"/>
    <w:rsid w:val="00AF14D5"/>
    <w:rsid w:val="00AF5443"/>
    <w:rsid w:val="00AF73DA"/>
    <w:rsid w:val="00AF7886"/>
    <w:rsid w:val="00B00A12"/>
    <w:rsid w:val="00B03B5B"/>
    <w:rsid w:val="00B04811"/>
    <w:rsid w:val="00B10354"/>
    <w:rsid w:val="00B13BF6"/>
    <w:rsid w:val="00B23563"/>
    <w:rsid w:val="00B24EB4"/>
    <w:rsid w:val="00B25268"/>
    <w:rsid w:val="00B311DE"/>
    <w:rsid w:val="00B3236F"/>
    <w:rsid w:val="00B347D7"/>
    <w:rsid w:val="00B35478"/>
    <w:rsid w:val="00B35A8D"/>
    <w:rsid w:val="00B35E95"/>
    <w:rsid w:val="00B449AE"/>
    <w:rsid w:val="00B50DCB"/>
    <w:rsid w:val="00B51ABF"/>
    <w:rsid w:val="00B52EA2"/>
    <w:rsid w:val="00B54676"/>
    <w:rsid w:val="00B5469B"/>
    <w:rsid w:val="00B55ED6"/>
    <w:rsid w:val="00B5609C"/>
    <w:rsid w:val="00B602A4"/>
    <w:rsid w:val="00B64DD4"/>
    <w:rsid w:val="00B70ED1"/>
    <w:rsid w:val="00B72F23"/>
    <w:rsid w:val="00B730A0"/>
    <w:rsid w:val="00B74453"/>
    <w:rsid w:val="00B745F5"/>
    <w:rsid w:val="00B76B09"/>
    <w:rsid w:val="00B84ED5"/>
    <w:rsid w:val="00B86F31"/>
    <w:rsid w:val="00B906C5"/>
    <w:rsid w:val="00B91768"/>
    <w:rsid w:val="00B92C79"/>
    <w:rsid w:val="00B94AAE"/>
    <w:rsid w:val="00B94F5E"/>
    <w:rsid w:val="00BA0E50"/>
    <w:rsid w:val="00BA3006"/>
    <w:rsid w:val="00BA3208"/>
    <w:rsid w:val="00BA43E5"/>
    <w:rsid w:val="00BA5274"/>
    <w:rsid w:val="00BA6F96"/>
    <w:rsid w:val="00BA6FD2"/>
    <w:rsid w:val="00BA7C14"/>
    <w:rsid w:val="00BB5C58"/>
    <w:rsid w:val="00BC0D82"/>
    <w:rsid w:val="00BC4F9D"/>
    <w:rsid w:val="00BD1D2C"/>
    <w:rsid w:val="00BD2506"/>
    <w:rsid w:val="00BD280A"/>
    <w:rsid w:val="00BD75D6"/>
    <w:rsid w:val="00BE203E"/>
    <w:rsid w:val="00BE551C"/>
    <w:rsid w:val="00BF2B9F"/>
    <w:rsid w:val="00BF3051"/>
    <w:rsid w:val="00BF7B63"/>
    <w:rsid w:val="00C0053E"/>
    <w:rsid w:val="00C02524"/>
    <w:rsid w:val="00C04D54"/>
    <w:rsid w:val="00C0573C"/>
    <w:rsid w:val="00C05861"/>
    <w:rsid w:val="00C06595"/>
    <w:rsid w:val="00C12906"/>
    <w:rsid w:val="00C13FB1"/>
    <w:rsid w:val="00C14A14"/>
    <w:rsid w:val="00C14B99"/>
    <w:rsid w:val="00C24255"/>
    <w:rsid w:val="00C24781"/>
    <w:rsid w:val="00C25C27"/>
    <w:rsid w:val="00C31F31"/>
    <w:rsid w:val="00C33FA2"/>
    <w:rsid w:val="00C361DA"/>
    <w:rsid w:val="00C36BC8"/>
    <w:rsid w:val="00C40984"/>
    <w:rsid w:val="00C41441"/>
    <w:rsid w:val="00C41CE0"/>
    <w:rsid w:val="00C42417"/>
    <w:rsid w:val="00C429B7"/>
    <w:rsid w:val="00C4365F"/>
    <w:rsid w:val="00C50729"/>
    <w:rsid w:val="00C5101C"/>
    <w:rsid w:val="00C529A7"/>
    <w:rsid w:val="00C5744F"/>
    <w:rsid w:val="00C57CAF"/>
    <w:rsid w:val="00C60EF9"/>
    <w:rsid w:val="00C66E7A"/>
    <w:rsid w:val="00C71C39"/>
    <w:rsid w:val="00C7258A"/>
    <w:rsid w:val="00C7363A"/>
    <w:rsid w:val="00C762A2"/>
    <w:rsid w:val="00C77158"/>
    <w:rsid w:val="00C77381"/>
    <w:rsid w:val="00C81CD6"/>
    <w:rsid w:val="00C8409B"/>
    <w:rsid w:val="00C86A87"/>
    <w:rsid w:val="00C86DC8"/>
    <w:rsid w:val="00C86DF6"/>
    <w:rsid w:val="00C8788E"/>
    <w:rsid w:val="00C93F0A"/>
    <w:rsid w:val="00C94697"/>
    <w:rsid w:val="00C95D4F"/>
    <w:rsid w:val="00C9739E"/>
    <w:rsid w:val="00CA33F5"/>
    <w:rsid w:val="00CA4070"/>
    <w:rsid w:val="00CA5EDD"/>
    <w:rsid w:val="00CA6621"/>
    <w:rsid w:val="00CB0E0D"/>
    <w:rsid w:val="00CB284F"/>
    <w:rsid w:val="00CB44E6"/>
    <w:rsid w:val="00CB6E5E"/>
    <w:rsid w:val="00CB71FE"/>
    <w:rsid w:val="00CB78DF"/>
    <w:rsid w:val="00CC2633"/>
    <w:rsid w:val="00CC5E98"/>
    <w:rsid w:val="00CC6757"/>
    <w:rsid w:val="00CD049D"/>
    <w:rsid w:val="00CD0525"/>
    <w:rsid w:val="00CD3667"/>
    <w:rsid w:val="00CD50CE"/>
    <w:rsid w:val="00CD62D7"/>
    <w:rsid w:val="00CD6BC1"/>
    <w:rsid w:val="00CE57C1"/>
    <w:rsid w:val="00CE58AB"/>
    <w:rsid w:val="00CE5D04"/>
    <w:rsid w:val="00CF4756"/>
    <w:rsid w:val="00CF79A0"/>
    <w:rsid w:val="00D0109F"/>
    <w:rsid w:val="00D03EB2"/>
    <w:rsid w:val="00D05373"/>
    <w:rsid w:val="00D05F77"/>
    <w:rsid w:val="00D0681E"/>
    <w:rsid w:val="00D07882"/>
    <w:rsid w:val="00D07B19"/>
    <w:rsid w:val="00D13EDA"/>
    <w:rsid w:val="00D206C2"/>
    <w:rsid w:val="00D23627"/>
    <w:rsid w:val="00D24630"/>
    <w:rsid w:val="00D31309"/>
    <w:rsid w:val="00D31D54"/>
    <w:rsid w:val="00D34194"/>
    <w:rsid w:val="00D36943"/>
    <w:rsid w:val="00D47E8A"/>
    <w:rsid w:val="00D500EA"/>
    <w:rsid w:val="00D5114D"/>
    <w:rsid w:val="00D511DB"/>
    <w:rsid w:val="00D51BD6"/>
    <w:rsid w:val="00D55251"/>
    <w:rsid w:val="00D62467"/>
    <w:rsid w:val="00D63759"/>
    <w:rsid w:val="00D64354"/>
    <w:rsid w:val="00D64E1E"/>
    <w:rsid w:val="00D70A42"/>
    <w:rsid w:val="00D73AEF"/>
    <w:rsid w:val="00D75846"/>
    <w:rsid w:val="00D76B69"/>
    <w:rsid w:val="00D77A0C"/>
    <w:rsid w:val="00D81886"/>
    <w:rsid w:val="00D81D0D"/>
    <w:rsid w:val="00D829BB"/>
    <w:rsid w:val="00D83914"/>
    <w:rsid w:val="00D842CE"/>
    <w:rsid w:val="00D84763"/>
    <w:rsid w:val="00D85283"/>
    <w:rsid w:val="00D865A2"/>
    <w:rsid w:val="00D871E5"/>
    <w:rsid w:val="00D87AB2"/>
    <w:rsid w:val="00D87C58"/>
    <w:rsid w:val="00D939AB"/>
    <w:rsid w:val="00D941E1"/>
    <w:rsid w:val="00DA0FE5"/>
    <w:rsid w:val="00DA2BF3"/>
    <w:rsid w:val="00DA42A8"/>
    <w:rsid w:val="00DA440C"/>
    <w:rsid w:val="00DA60AC"/>
    <w:rsid w:val="00DA64B9"/>
    <w:rsid w:val="00DB0016"/>
    <w:rsid w:val="00DB06BF"/>
    <w:rsid w:val="00DB1861"/>
    <w:rsid w:val="00DB223F"/>
    <w:rsid w:val="00DB25E6"/>
    <w:rsid w:val="00DB2CB9"/>
    <w:rsid w:val="00DB49AB"/>
    <w:rsid w:val="00DB7A52"/>
    <w:rsid w:val="00DC39B8"/>
    <w:rsid w:val="00DC4552"/>
    <w:rsid w:val="00DC601F"/>
    <w:rsid w:val="00DD1DB4"/>
    <w:rsid w:val="00DD4045"/>
    <w:rsid w:val="00DD5864"/>
    <w:rsid w:val="00DD7861"/>
    <w:rsid w:val="00DD7D71"/>
    <w:rsid w:val="00DD7E57"/>
    <w:rsid w:val="00DE066F"/>
    <w:rsid w:val="00DE4D13"/>
    <w:rsid w:val="00DE60DE"/>
    <w:rsid w:val="00DE6A78"/>
    <w:rsid w:val="00DF0DF3"/>
    <w:rsid w:val="00DF1203"/>
    <w:rsid w:val="00DF3BF7"/>
    <w:rsid w:val="00DF4625"/>
    <w:rsid w:val="00DF6813"/>
    <w:rsid w:val="00E0287C"/>
    <w:rsid w:val="00E02B8D"/>
    <w:rsid w:val="00E03CAF"/>
    <w:rsid w:val="00E0787D"/>
    <w:rsid w:val="00E07DE4"/>
    <w:rsid w:val="00E128C8"/>
    <w:rsid w:val="00E14695"/>
    <w:rsid w:val="00E17608"/>
    <w:rsid w:val="00E20D4F"/>
    <w:rsid w:val="00E25B5E"/>
    <w:rsid w:val="00E27127"/>
    <w:rsid w:val="00E27D9B"/>
    <w:rsid w:val="00E30119"/>
    <w:rsid w:val="00E32017"/>
    <w:rsid w:val="00E34C69"/>
    <w:rsid w:val="00E36CB9"/>
    <w:rsid w:val="00E3776F"/>
    <w:rsid w:val="00E464FB"/>
    <w:rsid w:val="00E465EF"/>
    <w:rsid w:val="00E516CE"/>
    <w:rsid w:val="00E53C73"/>
    <w:rsid w:val="00E53DBC"/>
    <w:rsid w:val="00E5597E"/>
    <w:rsid w:val="00E55EA1"/>
    <w:rsid w:val="00E6199B"/>
    <w:rsid w:val="00E623A9"/>
    <w:rsid w:val="00E63379"/>
    <w:rsid w:val="00E66CDA"/>
    <w:rsid w:val="00E70875"/>
    <w:rsid w:val="00E711AA"/>
    <w:rsid w:val="00E71885"/>
    <w:rsid w:val="00E728B1"/>
    <w:rsid w:val="00E73431"/>
    <w:rsid w:val="00E752D6"/>
    <w:rsid w:val="00E76201"/>
    <w:rsid w:val="00E7631B"/>
    <w:rsid w:val="00E76945"/>
    <w:rsid w:val="00E80DDA"/>
    <w:rsid w:val="00E82092"/>
    <w:rsid w:val="00E83154"/>
    <w:rsid w:val="00E83C71"/>
    <w:rsid w:val="00E84A59"/>
    <w:rsid w:val="00E9008F"/>
    <w:rsid w:val="00E910F9"/>
    <w:rsid w:val="00E9236D"/>
    <w:rsid w:val="00E92B5A"/>
    <w:rsid w:val="00E97431"/>
    <w:rsid w:val="00EA079B"/>
    <w:rsid w:val="00EA0FF4"/>
    <w:rsid w:val="00EA1EBB"/>
    <w:rsid w:val="00EA6007"/>
    <w:rsid w:val="00EB20F4"/>
    <w:rsid w:val="00EB4A97"/>
    <w:rsid w:val="00EB616E"/>
    <w:rsid w:val="00EB6C7E"/>
    <w:rsid w:val="00EC1D40"/>
    <w:rsid w:val="00EC3324"/>
    <w:rsid w:val="00EC55C2"/>
    <w:rsid w:val="00EC67E4"/>
    <w:rsid w:val="00EC722E"/>
    <w:rsid w:val="00ED179B"/>
    <w:rsid w:val="00ED2EFC"/>
    <w:rsid w:val="00ED31CC"/>
    <w:rsid w:val="00ED3870"/>
    <w:rsid w:val="00EE21E5"/>
    <w:rsid w:val="00EE2BEA"/>
    <w:rsid w:val="00EE3535"/>
    <w:rsid w:val="00EE4E40"/>
    <w:rsid w:val="00EE622B"/>
    <w:rsid w:val="00EF1034"/>
    <w:rsid w:val="00EF14DF"/>
    <w:rsid w:val="00F0046C"/>
    <w:rsid w:val="00F0113B"/>
    <w:rsid w:val="00F0197B"/>
    <w:rsid w:val="00F05320"/>
    <w:rsid w:val="00F069A3"/>
    <w:rsid w:val="00F077FB"/>
    <w:rsid w:val="00F07C14"/>
    <w:rsid w:val="00F12A5C"/>
    <w:rsid w:val="00F14082"/>
    <w:rsid w:val="00F14B08"/>
    <w:rsid w:val="00F215E8"/>
    <w:rsid w:val="00F22CF8"/>
    <w:rsid w:val="00F249CD"/>
    <w:rsid w:val="00F24B0C"/>
    <w:rsid w:val="00F24F96"/>
    <w:rsid w:val="00F259D9"/>
    <w:rsid w:val="00F263DA"/>
    <w:rsid w:val="00F30B8A"/>
    <w:rsid w:val="00F31CD6"/>
    <w:rsid w:val="00F320EB"/>
    <w:rsid w:val="00F33334"/>
    <w:rsid w:val="00F33805"/>
    <w:rsid w:val="00F33F32"/>
    <w:rsid w:val="00F36260"/>
    <w:rsid w:val="00F36462"/>
    <w:rsid w:val="00F40BEB"/>
    <w:rsid w:val="00F42F0F"/>
    <w:rsid w:val="00F43ADA"/>
    <w:rsid w:val="00F44701"/>
    <w:rsid w:val="00F4559C"/>
    <w:rsid w:val="00F4573F"/>
    <w:rsid w:val="00F47CF9"/>
    <w:rsid w:val="00F52C04"/>
    <w:rsid w:val="00F540DE"/>
    <w:rsid w:val="00F573BB"/>
    <w:rsid w:val="00F6029E"/>
    <w:rsid w:val="00F62388"/>
    <w:rsid w:val="00F62545"/>
    <w:rsid w:val="00F63948"/>
    <w:rsid w:val="00F63DAA"/>
    <w:rsid w:val="00F6462C"/>
    <w:rsid w:val="00F6782E"/>
    <w:rsid w:val="00F67CAC"/>
    <w:rsid w:val="00F71158"/>
    <w:rsid w:val="00F72BF4"/>
    <w:rsid w:val="00F742B4"/>
    <w:rsid w:val="00F76C24"/>
    <w:rsid w:val="00F83302"/>
    <w:rsid w:val="00F86504"/>
    <w:rsid w:val="00F918A3"/>
    <w:rsid w:val="00F936F1"/>
    <w:rsid w:val="00F93B13"/>
    <w:rsid w:val="00F93DAA"/>
    <w:rsid w:val="00F94F0C"/>
    <w:rsid w:val="00F966FB"/>
    <w:rsid w:val="00F977F6"/>
    <w:rsid w:val="00F97A39"/>
    <w:rsid w:val="00FA6BFF"/>
    <w:rsid w:val="00FA7838"/>
    <w:rsid w:val="00FB2FD0"/>
    <w:rsid w:val="00FB328D"/>
    <w:rsid w:val="00FB4F06"/>
    <w:rsid w:val="00FB53AA"/>
    <w:rsid w:val="00FB54D5"/>
    <w:rsid w:val="00FC053D"/>
    <w:rsid w:val="00FC0B23"/>
    <w:rsid w:val="00FC1C5B"/>
    <w:rsid w:val="00FC48E2"/>
    <w:rsid w:val="00FC4AFB"/>
    <w:rsid w:val="00FC5E53"/>
    <w:rsid w:val="00FC6C9B"/>
    <w:rsid w:val="00FD0150"/>
    <w:rsid w:val="00FD04E3"/>
    <w:rsid w:val="00FD2F8C"/>
    <w:rsid w:val="00FD54FD"/>
    <w:rsid w:val="00FD6F74"/>
    <w:rsid w:val="00FE01BC"/>
    <w:rsid w:val="00FE3032"/>
    <w:rsid w:val="00FE3ED1"/>
    <w:rsid w:val="00FE77FD"/>
    <w:rsid w:val="00FF1DCC"/>
    <w:rsid w:val="00FF35F2"/>
    <w:rsid w:val="00FF5874"/>
    <w:rsid w:val="00FF5C9D"/>
    <w:rsid w:val="00FF625A"/>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962C2"/>
  <w15:chartTrackingRefBased/>
  <w15:docId w15:val="{867C87CB-CB12-4383-838D-36C882C3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109F"/>
    <w:pPr>
      <w:spacing w:line="264" w:lineRule="auto"/>
    </w:pPr>
    <w:rPr>
      <w:rFonts w:ascii="Arial" w:hAnsi="Arial"/>
      <w:sz w:val="20"/>
      <w:lang w:val="en-US"/>
    </w:rPr>
  </w:style>
  <w:style w:type="paragraph" w:styleId="berschrift1">
    <w:name w:val="heading 1"/>
    <w:next w:val="Standard"/>
    <w:link w:val="berschrift1Zchn"/>
    <w:qFormat/>
    <w:rsid w:val="00D31D54"/>
    <w:pPr>
      <w:keepNext/>
      <w:pageBreakBefore/>
      <w:numPr>
        <w:numId w:val="11"/>
      </w:numPr>
      <w:spacing w:before="480" w:after="360" w:line="264" w:lineRule="auto"/>
      <w:outlineLvl w:val="0"/>
    </w:pPr>
    <w:rPr>
      <w:rFonts w:ascii="Georgia" w:eastAsia="Times New Roman" w:hAnsi="Georgia" w:cs="Arial"/>
      <w:bCs/>
      <w:color w:val="0072BC"/>
      <w:kern w:val="32"/>
      <w:sz w:val="40"/>
      <w:szCs w:val="40"/>
      <w:lang w:val="en-US"/>
      <w14:ligatures w14:val="none"/>
    </w:rPr>
  </w:style>
  <w:style w:type="paragraph" w:styleId="berschrift2">
    <w:name w:val="heading 2"/>
    <w:basedOn w:val="berschrift1"/>
    <w:next w:val="Standard"/>
    <w:link w:val="berschrift2Zchn"/>
    <w:unhideWhenUsed/>
    <w:qFormat/>
    <w:rsid w:val="008923D1"/>
    <w:pPr>
      <w:pageBreakBefore w:val="0"/>
      <w:numPr>
        <w:ilvl w:val="1"/>
      </w:numPr>
      <w:spacing w:before="360" w:after="120"/>
      <w:outlineLvl w:val="1"/>
    </w:pPr>
    <w:rPr>
      <w:rFonts w:asciiTheme="majorHAnsi" w:hAnsiTheme="majorHAnsi"/>
      <w:b/>
      <w:iCs/>
      <w:color w:val="2E404D" w:themeColor="text2"/>
      <w:kern w:val="24"/>
      <w:sz w:val="28"/>
      <w:szCs w:val="22"/>
    </w:rPr>
  </w:style>
  <w:style w:type="paragraph" w:styleId="berschrift3">
    <w:name w:val="heading 3"/>
    <w:basedOn w:val="berschrift2"/>
    <w:next w:val="Standard"/>
    <w:link w:val="berschrift3Zchn"/>
    <w:unhideWhenUsed/>
    <w:qFormat/>
    <w:rsid w:val="00D31D54"/>
    <w:pPr>
      <w:numPr>
        <w:ilvl w:val="2"/>
      </w:numPr>
      <w:outlineLvl w:val="2"/>
    </w:pPr>
    <w:rPr>
      <w:b w:val="0"/>
      <w:bCs w:val="0"/>
      <w:iCs w:val="0"/>
      <w:kern w:val="22"/>
    </w:rPr>
  </w:style>
  <w:style w:type="paragraph" w:styleId="berschrift4">
    <w:name w:val="heading 4"/>
    <w:basedOn w:val="berschrift3"/>
    <w:next w:val="Standard"/>
    <w:link w:val="berschrift4Zchn"/>
    <w:unhideWhenUsed/>
    <w:qFormat/>
    <w:rsid w:val="00DB7A52"/>
    <w:pPr>
      <w:numPr>
        <w:ilvl w:val="3"/>
      </w:numPr>
      <w:spacing w:before="240"/>
      <w:outlineLvl w:val="3"/>
    </w:pPr>
    <w:rPr>
      <w:iCs/>
      <w:kern w:val="20"/>
      <w:sz w:val="24"/>
    </w:rPr>
  </w:style>
  <w:style w:type="paragraph" w:styleId="berschrift5">
    <w:name w:val="heading 5"/>
    <w:basedOn w:val="berschrift4"/>
    <w:next w:val="Standard"/>
    <w:link w:val="berschrift5Zchn"/>
    <w:unhideWhenUsed/>
    <w:qFormat/>
    <w:rsid w:val="00DB7A52"/>
    <w:pPr>
      <w:numPr>
        <w:ilvl w:val="4"/>
      </w:numPr>
      <w:tabs>
        <w:tab w:val="clear" w:pos="850"/>
      </w:tabs>
      <w:ind w:left="990" w:hanging="990"/>
      <w:outlineLvl w:val="4"/>
    </w:pPr>
    <w:rPr>
      <w:bCs/>
      <w:iCs w:val="0"/>
    </w:rPr>
  </w:style>
  <w:style w:type="paragraph" w:styleId="berschrift6">
    <w:name w:val="heading 6"/>
    <w:basedOn w:val="berschrift5"/>
    <w:next w:val="Standard"/>
    <w:link w:val="berschrift6Zchn"/>
    <w:uiPriority w:val="99"/>
    <w:unhideWhenUsed/>
    <w:qFormat/>
    <w:rsid w:val="00AE3C79"/>
    <w:pPr>
      <w:numPr>
        <w:ilvl w:val="5"/>
        <w:numId w:val="0"/>
      </w:numPr>
      <w:outlineLvl w:val="5"/>
    </w:pPr>
    <w:rPr>
      <w:b/>
      <w:bCs w:val="0"/>
      <w:sz w:val="22"/>
    </w:rPr>
  </w:style>
  <w:style w:type="paragraph" w:styleId="berschrift7">
    <w:name w:val="heading 7"/>
    <w:basedOn w:val="berschrift6"/>
    <w:next w:val="Standard"/>
    <w:link w:val="berschrift7Zchn"/>
    <w:uiPriority w:val="99"/>
    <w:unhideWhenUsed/>
    <w:rsid w:val="00AE3C79"/>
    <w:pPr>
      <w:numPr>
        <w:ilvl w:val="6"/>
      </w:numPr>
      <w:outlineLvl w:val="6"/>
    </w:pPr>
    <w:rPr>
      <w:b w:val="0"/>
    </w:rPr>
  </w:style>
  <w:style w:type="paragraph" w:styleId="berschrift8">
    <w:name w:val="heading 8"/>
    <w:basedOn w:val="berschrift7"/>
    <w:next w:val="Standard"/>
    <w:link w:val="berschrift8Zchn"/>
    <w:uiPriority w:val="99"/>
    <w:unhideWhenUsed/>
    <w:rsid w:val="00AE3C79"/>
    <w:pPr>
      <w:numPr>
        <w:ilvl w:val="7"/>
      </w:numPr>
      <w:outlineLvl w:val="7"/>
    </w:pPr>
    <w:rPr>
      <w:b/>
      <w:iCs/>
      <w:sz w:val="21"/>
    </w:rPr>
  </w:style>
  <w:style w:type="paragraph" w:styleId="berschrift9">
    <w:name w:val="heading 9"/>
    <w:basedOn w:val="berschrift8"/>
    <w:next w:val="Standard"/>
    <w:link w:val="berschrift9Zchn"/>
    <w:uiPriority w:val="99"/>
    <w:unhideWhenUsed/>
    <w:rsid w:val="00AE3C79"/>
    <w:pPr>
      <w:numPr>
        <w:ilvl w:val="8"/>
      </w:numPr>
      <w:outlineLvl w:val="8"/>
    </w:pPr>
    <w:rPr>
      <w:b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66EC"/>
    <w:pPr>
      <w:numPr>
        <w:numId w:val="13"/>
      </w:numPr>
      <w:contextualSpacing/>
    </w:pPr>
    <w:rPr>
      <w:color w:val="070F26" w:themeColor="background1"/>
    </w:rPr>
  </w:style>
  <w:style w:type="character" w:customStyle="1" w:styleId="berschrift1Zchn">
    <w:name w:val="Überschrift 1 Zchn"/>
    <w:basedOn w:val="Absatz-Standardschriftart"/>
    <w:link w:val="berschrift1"/>
    <w:rsid w:val="00D31D54"/>
    <w:rPr>
      <w:rFonts w:ascii="Georgia" w:eastAsia="Times New Roman" w:hAnsi="Georgia" w:cs="Arial"/>
      <w:bCs/>
      <w:color w:val="0072BC"/>
      <w:kern w:val="32"/>
      <w:sz w:val="40"/>
      <w:szCs w:val="40"/>
      <w:lang w:val="en-US"/>
      <w14:ligatures w14:val="none"/>
    </w:rPr>
  </w:style>
  <w:style w:type="paragraph" w:styleId="Kopfzeile">
    <w:name w:val="header"/>
    <w:basedOn w:val="Standard"/>
    <w:link w:val="KopfzeileZchn"/>
    <w:uiPriority w:val="99"/>
    <w:unhideWhenUsed/>
    <w:rsid w:val="00AE3C79"/>
    <w:pPr>
      <w:tabs>
        <w:tab w:val="center" w:pos="4513"/>
        <w:tab w:val="right" w:pos="9026"/>
      </w:tabs>
      <w:ind w:right="2835"/>
    </w:pPr>
    <w:rPr>
      <w:sz w:val="16"/>
    </w:rPr>
  </w:style>
  <w:style w:type="character" w:customStyle="1" w:styleId="KopfzeileZchn">
    <w:name w:val="Kopfzeile Zchn"/>
    <w:basedOn w:val="Absatz-Standardschriftart"/>
    <w:link w:val="Kopfzeile"/>
    <w:uiPriority w:val="99"/>
    <w:rsid w:val="00AE3C79"/>
    <w:rPr>
      <w:rFonts w:ascii="Arial" w:hAnsi="Arial"/>
      <w:sz w:val="16"/>
      <w:lang w:val="en-US"/>
    </w:rPr>
  </w:style>
  <w:style w:type="paragraph" w:styleId="Fuzeile">
    <w:name w:val="footer"/>
    <w:basedOn w:val="Standard"/>
    <w:link w:val="FuzeileZchn"/>
    <w:uiPriority w:val="99"/>
    <w:unhideWhenUsed/>
    <w:rsid w:val="00AE3C79"/>
    <w:pPr>
      <w:tabs>
        <w:tab w:val="center" w:pos="4513"/>
        <w:tab w:val="right" w:pos="9026"/>
      </w:tabs>
    </w:pPr>
    <w:rPr>
      <w:sz w:val="16"/>
    </w:rPr>
  </w:style>
  <w:style w:type="character" w:customStyle="1" w:styleId="FuzeileZchn">
    <w:name w:val="Fußzeile Zchn"/>
    <w:basedOn w:val="Absatz-Standardschriftart"/>
    <w:link w:val="Fuzeile"/>
    <w:uiPriority w:val="99"/>
    <w:rsid w:val="00AE3C79"/>
    <w:rPr>
      <w:rFonts w:ascii="Arial" w:hAnsi="Arial"/>
      <w:sz w:val="16"/>
      <w:lang w:val="en-US"/>
    </w:rPr>
  </w:style>
  <w:style w:type="character" w:customStyle="1" w:styleId="berschrift2Zchn">
    <w:name w:val="Überschrift 2 Zchn"/>
    <w:basedOn w:val="Absatz-Standardschriftart"/>
    <w:link w:val="berschrift2"/>
    <w:rsid w:val="008923D1"/>
    <w:rPr>
      <w:rFonts w:asciiTheme="majorHAnsi" w:eastAsia="Times New Roman" w:hAnsiTheme="majorHAnsi" w:cs="Arial"/>
      <w:b/>
      <w:bCs/>
      <w:iCs/>
      <w:color w:val="2E404D" w:themeColor="text2"/>
      <w:kern w:val="24"/>
      <w:sz w:val="28"/>
      <w:szCs w:val="22"/>
      <w:lang w:val="en-US"/>
      <w14:ligatures w14:val="none"/>
    </w:rPr>
  </w:style>
  <w:style w:type="character" w:customStyle="1" w:styleId="berschrift3Zchn">
    <w:name w:val="Überschrift 3 Zchn"/>
    <w:basedOn w:val="Absatz-Standardschriftart"/>
    <w:link w:val="berschrift3"/>
    <w:rsid w:val="00D31D54"/>
    <w:rPr>
      <w:rFonts w:asciiTheme="majorHAnsi" w:eastAsia="Times New Roman" w:hAnsiTheme="majorHAnsi" w:cs="Arial"/>
      <w:color w:val="2E404D" w:themeColor="text2"/>
      <w:kern w:val="22"/>
      <w:sz w:val="28"/>
      <w:szCs w:val="22"/>
      <w:lang w:val="en-US"/>
      <w14:ligatures w14:val="none"/>
    </w:rPr>
  </w:style>
  <w:style w:type="paragraph" w:customStyle="1" w:styleId="Bullet">
    <w:name w:val="Bullet"/>
    <w:basedOn w:val="Standard"/>
    <w:qFormat/>
    <w:rsid w:val="00CA33F5"/>
    <w:pPr>
      <w:numPr>
        <w:numId w:val="14"/>
      </w:numPr>
      <w:spacing w:before="160" w:after="160"/>
      <w:contextualSpacing/>
    </w:pPr>
    <w:rPr>
      <w:rFonts w:eastAsia="Times New Roman" w:cs="Arial"/>
      <w:color w:val="FFFFFF" w:themeColor="text1"/>
      <w:kern w:val="20"/>
      <w:szCs w:val="20"/>
      <w:lang w:val="en-GB"/>
      <w14:ligatures w14:val="none"/>
    </w:rPr>
  </w:style>
  <w:style w:type="paragraph" w:styleId="KeinLeerraum">
    <w:name w:val="No Spacing"/>
    <w:uiPriority w:val="1"/>
    <w:qFormat/>
    <w:rsid w:val="00AE3C79"/>
    <w:pPr>
      <w:spacing w:line="264" w:lineRule="auto"/>
    </w:pPr>
    <w:rPr>
      <w:rFonts w:ascii="Arial" w:hAnsi="Arial"/>
      <w:color w:val="FFFFFF" w:themeColor="text1"/>
      <w:sz w:val="20"/>
      <w:lang w:val="en-US"/>
    </w:rPr>
  </w:style>
  <w:style w:type="character" w:customStyle="1" w:styleId="berschrift4Zchn">
    <w:name w:val="Überschrift 4 Zchn"/>
    <w:basedOn w:val="Absatz-Standardschriftart"/>
    <w:link w:val="berschrift4"/>
    <w:rsid w:val="00DB7A52"/>
    <w:rPr>
      <w:rFonts w:asciiTheme="majorHAnsi" w:eastAsia="Times New Roman" w:hAnsiTheme="majorHAnsi" w:cs="Arial"/>
      <w:iCs/>
      <w:color w:val="2E404D" w:themeColor="text2"/>
      <w:kern w:val="20"/>
      <w:szCs w:val="22"/>
      <w:lang w:val="en-US"/>
      <w14:ligatures w14:val="none"/>
    </w:rPr>
  </w:style>
  <w:style w:type="table" w:styleId="Tabellenraster">
    <w:name w:val="Table Grid"/>
    <w:basedOn w:val="NormaleTabelle"/>
    <w:uiPriority w:val="39"/>
    <w:rsid w:val="004611C6"/>
    <w:rPr>
      <w:sz w:val="20"/>
    </w:rPr>
    <w:tblPr>
      <w:tblBorders>
        <w:top w:val="single" w:sz="4" w:space="0" w:color="070F26" w:themeColor="background1"/>
        <w:bottom w:val="single" w:sz="4" w:space="0" w:color="070F26" w:themeColor="background1"/>
        <w:insideH w:val="single" w:sz="4" w:space="0" w:color="070F26" w:themeColor="background1"/>
        <w:insideV w:val="single" w:sz="4" w:space="0" w:color="070F26" w:themeColor="background1"/>
      </w:tblBorders>
      <w:tblCellMar>
        <w:top w:w="85" w:type="dxa"/>
        <w:left w:w="85" w:type="dxa"/>
        <w:bottom w:w="85" w:type="dxa"/>
        <w:right w:w="85" w:type="dxa"/>
      </w:tblCellMar>
    </w:tblPr>
    <w:tcPr>
      <w:shd w:val="clear" w:color="auto" w:fill="auto"/>
    </w:tcPr>
    <w:tblStylePr w:type="firstRow">
      <w:rPr>
        <w:b/>
      </w:rPr>
    </w:tblStylePr>
    <w:tblStylePr w:type="firstCol">
      <w:rPr>
        <w:b/>
      </w:rPr>
    </w:tblStylePr>
  </w:style>
  <w:style w:type="character" w:customStyle="1" w:styleId="berschrift5Zchn">
    <w:name w:val="Überschrift 5 Zchn"/>
    <w:basedOn w:val="Absatz-Standardschriftart"/>
    <w:link w:val="berschrift5"/>
    <w:rsid w:val="00DB7A52"/>
    <w:rPr>
      <w:rFonts w:asciiTheme="majorHAnsi" w:eastAsia="Times New Roman" w:hAnsiTheme="majorHAnsi" w:cs="Arial"/>
      <w:bCs/>
      <w:color w:val="2E404D" w:themeColor="text2"/>
      <w:kern w:val="20"/>
      <w:szCs w:val="22"/>
      <w:lang w:val="en-US"/>
      <w14:ligatures w14:val="none"/>
    </w:rPr>
  </w:style>
  <w:style w:type="paragraph" w:styleId="Untertitel">
    <w:name w:val="Subtitle"/>
    <w:basedOn w:val="Standard"/>
    <w:next w:val="Standard"/>
    <w:link w:val="UntertitelZchn"/>
    <w:uiPriority w:val="11"/>
    <w:qFormat/>
    <w:rsid w:val="00AE3C79"/>
    <w:pPr>
      <w:spacing w:before="240" w:after="120"/>
    </w:pPr>
    <w:rPr>
      <w:sz w:val="28"/>
      <w:szCs w:val="32"/>
    </w:rPr>
  </w:style>
  <w:style w:type="character" w:customStyle="1" w:styleId="UntertitelZchn">
    <w:name w:val="Untertitel Zchn"/>
    <w:basedOn w:val="Absatz-Standardschriftart"/>
    <w:link w:val="Untertitel"/>
    <w:uiPriority w:val="11"/>
    <w:rsid w:val="00AE3C79"/>
    <w:rPr>
      <w:rFonts w:ascii="Arial" w:hAnsi="Arial"/>
      <w:sz w:val="28"/>
      <w:szCs w:val="32"/>
      <w:lang w:val="en-US"/>
    </w:rPr>
  </w:style>
  <w:style w:type="paragraph" w:customStyle="1" w:styleId="DocTitle">
    <w:name w:val="Doc Title"/>
    <w:basedOn w:val="Standard"/>
    <w:qFormat/>
    <w:rsid w:val="008923D1"/>
    <w:rPr>
      <w:rFonts w:ascii="Georgia" w:hAnsi="Georgia"/>
      <w:color w:val="0072BC" w:themeColor="background2"/>
      <w:sz w:val="68"/>
      <w:szCs w:val="68"/>
    </w:rPr>
  </w:style>
  <w:style w:type="paragraph" w:customStyle="1" w:styleId="AppendixHeading1">
    <w:name w:val="Appendix Heading 1"/>
    <w:next w:val="Standard"/>
    <w:uiPriority w:val="5"/>
    <w:qFormat/>
    <w:rsid w:val="008923D1"/>
    <w:pPr>
      <w:keepNext/>
      <w:keepLines/>
      <w:pageBreakBefore/>
      <w:numPr>
        <w:numId w:val="12"/>
      </w:numPr>
      <w:tabs>
        <w:tab w:val="left" w:pos="1701"/>
      </w:tabs>
      <w:spacing w:after="360" w:line="264" w:lineRule="auto"/>
      <w:outlineLvl w:val="0"/>
    </w:pPr>
    <w:rPr>
      <w:rFonts w:ascii="Georgia" w:eastAsia="Times New Roman" w:hAnsi="Georgia" w:cs="Arial"/>
      <w:bCs/>
      <w:color w:val="0072BC" w:themeColor="background2"/>
      <w:kern w:val="28"/>
      <w:sz w:val="40"/>
      <w:szCs w:val="20"/>
      <w:lang w:val="en-US"/>
      <w14:ligatures w14:val="none"/>
    </w:rPr>
  </w:style>
  <w:style w:type="paragraph" w:styleId="Verzeichnis1">
    <w:name w:val="toc 1"/>
    <w:basedOn w:val="Standard"/>
    <w:next w:val="Standard"/>
    <w:uiPriority w:val="39"/>
    <w:unhideWhenUsed/>
    <w:rsid w:val="00FD04E3"/>
    <w:pPr>
      <w:tabs>
        <w:tab w:val="right" w:leader="dot" w:pos="9628"/>
      </w:tabs>
      <w:spacing w:before="360" w:after="100"/>
      <w:ind w:left="1494" w:hanging="1494"/>
    </w:pPr>
    <w:rPr>
      <w:rFonts w:asciiTheme="minorHAnsi" w:eastAsiaTheme="minorEastAsia" w:hAnsiTheme="minorHAnsi"/>
      <w:b/>
      <w:noProof/>
      <w:color w:val="2E404D" w:themeColor="text2"/>
      <w:sz w:val="22"/>
      <w:szCs w:val="22"/>
      <w:lang w:val="en-ZA" w:eastAsia="en-ZA"/>
    </w:rPr>
  </w:style>
  <w:style w:type="paragraph" w:styleId="Verzeichnis2">
    <w:name w:val="toc 2"/>
    <w:basedOn w:val="Standard"/>
    <w:next w:val="Standard"/>
    <w:uiPriority w:val="39"/>
    <w:unhideWhenUsed/>
    <w:rsid w:val="00FD04E3"/>
    <w:pPr>
      <w:tabs>
        <w:tab w:val="right" w:leader="dot" w:pos="9628"/>
      </w:tabs>
      <w:spacing w:before="120" w:after="100"/>
      <w:ind w:left="1485" w:hanging="1485"/>
    </w:pPr>
    <w:rPr>
      <w:rFonts w:asciiTheme="minorHAnsi" w:eastAsiaTheme="minorEastAsia" w:hAnsiTheme="minorHAnsi"/>
      <w:noProof/>
      <w:sz w:val="22"/>
      <w:szCs w:val="22"/>
      <w:lang w:val="en-ZA" w:eastAsia="en-ZA"/>
    </w:rPr>
  </w:style>
  <w:style w:type="character" w:customStyle="1" w:styleId="berschrift6Zchn">
    <w:name w:val="Überschrift 6 Zchn"/>
    <w:basedOn w:val="Absatz-Standardschriftart"/>
    <w:link w:val="berschrift6"/>
    <w:uiPriority w:val="99"/>
    <w:rsid w:val="00AE3C79"/>
    <w:rPr>
      <w:rFonts w:asciiTheme="majorHAnsi" w:eastAsia="Times New Roman" w:hAnsiTheme="majorHAnsi" w:cs="Arial"/>
      <w:b/>
      <w:color w:val="00DFED" w:themeColor="accent2"/>
      <w:kern w:val="20"/>
      <w:sz w:val="22"/>
      <w:szCs w:val="22"/>
      <w:lang w:val="en-US"/>
      <w14:ligatures w14:val="none"/>
    </w:rPr>
  </w:style>
  <w:style w:type="character" w:customStyle="1" w:styleId="berschrift7Zchn">
    <w:name w:val="Überschrift 7 Zchn"/>
    <w:basedOn w:val="Absatz-Standardschriftart"/>
    <w:link w:val="berschrift7"/>
    <w:uiPriority w:val="99"/>
    <w:rsid w:val="00AE3C79"/>
    <w:rPr>
      <w:rFonts w:asciiTheme="majorHAnsi" w:eastAsia="Times New Roman" w:hAnsiTheme="majorHAnsi" w:cs="Arial"/>
      <w:color w:val="00DFED" w:themeColor="accent2"/>
      <w:kern w:val="20"/>
      <w:sz w:val="22"/>
      <w:szCs w:val="22"/>
      <w:lang w:val="en-US"/>
      <w14:ligatures w14:val="none"/>
    </w:rPr>
  </w:style>
  <w:style w:type="character" w:customStyle="1" w:styleId="berschrift8Zchn">
    <w:name w:val="Überschrift 8 Zchn"/>
    <w:basedOn w:val="Absatz-Standardschriftart"/>
    <w:link w:val="berschrift8"/>
    <w:uiPriority w:val="99"/>
    <w:rsid w:val="00AE3C79"/>
    <w:rPr>
      <w:rFonts w:asciiTheme="majorHAnsi" w:eastAsia="Times New Roman" w:hAnsiTheme="majorHAnsi" w:cs="Arial"/>
      <w:b/>
      <w:iCs/>
      <w:color w:val="00DFED" w:themeColor="accent2"/>
      <w:kern w:val="20"/>
      <w:sz w:val="21"/>
      <w:szCs w:val="22"/>
      <w:lang w:val="en-US"/>
      <w14:ligatures w14:val="none"/>
    </w:rPr>
  </w:style>
  <w:style w:type="character" w:customStyle="1" w:styleId="berschrift9Zchn">
    <w:name w:val="Überschrift 9 Zchn"/>
    <w:basedOn w:val="Absatz-Standardschriftart"/>
    <w:link w:val="berschrift9"/>
    <w:uiPriority w:val="99"/>
    <w:rsid w:val="00AE3C79"/>
    <w:rPr>
      <w:rFonts w:asciiTheme="majorHAnsi" w:eastAsia="Times New Roman" w:hAnsiTheme="majorHAnsi" w:cs="Arial"/>
      <w:iCs/>
      <w:color w:val="00DFED" w:themeColor="accent2"/>
      <w:kern w:val="20"/>
      <w:sz w:val="21"/>
      <w:szCs w:val="22"/>
      <w:lang w:val="en-US"/>
      <w14:ligatures w14:val="none"/>
    </w:rPr>
  </w:style>
  <w:style w:type="character" w:styleId="Hyperlink">
    <w:name w:val="Hyperlink"/>
    <w:basedOn w:val="Absatz-Standardschriftart"/>
    <w:uiPriority w:val="99"/>
    <w:unhideWhenUsed/>
    <w:rsid w:val="00AE3C79"/>
    <w:rPr>
      <w:color w:val="005B96" w:themeColor="hyperlink"/>
      <w:u w:val="single"/>
    </w:rPr>
  </w:style>
  <w:style w:type="character" w:styleId="NichtaufgelsteErwhnung">
    <w:name w:val="Unresolved Mention"/>
    <w:basedOn w:val="Absatz-Standardschriftart"/>
    <w:uiPriority w:val="99"/>
    <w:semiHidden/>
    <w:unhideWhenUsed/>
    <w:rsid w:val="00AE3C79"/>
    <w:rPr>
      <w:color w:val="605E5C"/>
      <w:shd w:val="clear" w:color="auto" w:fill="E1DFDD"/>
    </w:rPr>
  </w:style>
  <w:style w:type="paragraph" w:styleId="Verzeichnis3">
    <w:name w:val="toc 3"/>
    <w:basedOn w:val="Standard"/>
    <w:next w:val="Standard"/>
    <w:uiPriority w:val="39"/>
    <w:unhideWhenUsed/>
    <w:rsid w:val="00FD04E3"/>
    <w:pPr>
      <w:tabs>
        <w:tab w:val="right" w:leader="dot" w:pos="9628"/>
      </w:tabs>
      <w:ind w:left="1494" w:hanging="1494"/>
    </w:pPr>
    <w:rPr>
      <w:rFonts w:asciiTheme="minorHAnsi" w:eastAsiaTheme="minorEastAsia" w:hAnsiTheme="minorHAnsi"/>
      <w:noProof/>
      <w:szCs w:val="22"/>
      <w:lang w:val="en-ZA" w:eastAsia="en-ZA"/>
    </w:rPr>
  </w:style>
  <w:style w:type="table" w:customStyle="1" w:styleId="SmartNavytable">
    <w:name w:val="Smart Navy table"/>
    <w:basedOn w:val="Tabellenraster"/>
    <w:uiPriority w:val="99"/>
    <w:rsid w:val="00F42F0F"/>
    <w:tblPr>
      <w:tblStyleRowBandSize w:val="1"/>
      <w:tblStyleColBandSize w:val="1"/>
      <w:tblBorders>
        <w:top w:val="none" w:sz="0" w:space="0" w:color="auto"/>
        <w:bottom w:val="none" w:sz="0" w:space="0" w:color="auto"/>
        <w:insideH w:val="single" w:sz="4" w:space="0" w:color="030712" w:themeColor="background1" w:themeShade="80"/>
        <w:insideV w:val="single" w:sz="4" w:space="0" w:color="030712" w:themeColor="background1" w:themeShade="80"/>
      </w:tblBorders>
    </w:tblPr>
    <w:trPr>
      <w:cantSplit/>
    </w:trPr>
    <w:tcPr>
      <w:shd w:val="clear" w:color="auto" w:fill="auto"/>
    </w:tcPr>
    <w:tblStylePr w:type="firstRow">
      <w:rPr>
        <w:b/>
        <w:color w:val="FFFFFF" w:themeColor="text1"/>
      </w:rPr>
      <w:tblPr/>
      <w:tcPr>
        <w:shd w:val="clear" w:color="auto" w:fill="2E404D" w:themeFill="text2"/>
      </w:tcPr>
    </w:tblStylePr>
    <w:tblStylePr w:type="lastRow">
      <w:rPr>
        <w:b/>
        <w:color w:val="FFFFFF" w:themeColor="text1"/>
      </w:rPr>
      <w:tblPr/>
      <w:tcPr>
        <w:shd w:val="clear" w:color="auto" w:fill="949494" w:themeFill="accent6"/>
      </w:tcPr>
    </w:tblStylePr>
    <w:tblStylePr w:type="firstCol">
      <w:rPr>
        <w:b/>
        <w:color w:val="FFFFFF" w:themeColor="text1"/>
      </w:rPr>
      <w:tblPr/>
      <w:tcPr>
        <w:shd w:val="clear" w:color="auto" w:fill="2E404D" w:themeFill="text2"/>
      </w:tcPr>
    </w:tblStylePr>
    <w:tblStylePr w:type="lastCol">
      <w:rPr>
        <w:b/>
        <w:color w:val="FFFFFF" w:themeColor="text1"/>
      </w:rPr>
      <w:tblPr/>
      <w:tcPr>
        <w:shd w:val="clear" w:color="auto" w:fill="949494" w:themeFill="accent6"/>
      </w:tcPr>
    </w:tblStylePr>
  </w:style>
  <w:style w:type="paragraph" w:customStyle="1" w:styleId="BulletLevel2">
    <w:name w:val="Bullet Level 2"/>
    <w:basedOn w:val="Standard"/>
    <w:qFormat/>
    <w:rsid w:val="00CA33F5"/>
    <w:pPr>
      <w:numPr>
        <w:ilvl w:val="1"/>
        <w:numId w:val="14"/>
      </w:numPr>
      <w:spacing w:before="160" w:after="160"/>
      <w:ind w:left="851" w:hanging="397"/>
      <w:contextualSpacing/>
    </w:pPr>
    <w:rPr>
      <w:rFonts w:eastAsia="Times New Roman" w:cs="Arial"/>
      <w:color w:val="FFFFFF" w:themeColor="text1"/>
      <w:kern w:val="20"/>
      <w:szCs w:val="20"/>
      <w:lang w:val="en-GB"/>
      <w14:ligatures w14:val="none"/>
    </w:rPr>
  </w:style>
  <w:style w:type="paragraph" w:customStyle="1" w:styleId="BulletLevel3">
    <w:name w:val="Bullet Level 3"/>
    <w:basedOn w:val="Standard"/>
    <w:qFormat/>
    <w:rsid w:val="00CA33F5"/>
    <w:pPr>
      <w:numPr>
        <w:ilvl w:val="2"/>
        <w:numId w:val="14"/>
      </w:numPr>
      <w:spacing w:before="160" w:after="160"/>
      <w:contextualSpacing/>
    </w:pPr>
    <w:rPr>
      <w:rFonts w:eastAsia="Times New Roman" w:cs="Arial"/>
      <w:color w:val="FFFFFF" w:themeColor="text1"/>
      <w:kern w:val="20"/>
      <w:szCs w:val="20"/>
      <w:lang w:val="en-GB"/>
      <w14:ligatures w14:val="none"/>
    </w:rPr>
  </w:style>
  <w:style w:type="paragraph" w:styleId="Beschriftung">
    <w:name w:val="caption"/>
    <w:basedOn w:val="Standard"/>
    <w:next w:val="Standard"/>
    <w:uiPriority w:val="8"/>
    <w:qFormat/>
    <w:rsid w:val="00AE3C79"/>
    <w:pPr>
      <w:spacing w:after="120"/>
    </w:pPr>
    <w:rPr>
      <w:rFonts w:eastAsia="Times New Roman" w:cs="Arial"/>
      <w:i/>
      <w:color w:val="000000"/>
      <w:kern w:val="18"/>
      <w:sz w:val="18"/>
      <w:szCs w:val="20"/>
      <w:lang w:eastAsia="en-GB"/>
      <w14:ligatures w14:val="none"/>
    </w:rPr>
  </w:style>
  <w:style w:type="paragraph" w:styleId="Abbildungsverzeichnis">
    <w:name w:val="table of figures"/>
    <w:basedOn w:val="Standard"/>
    <w:next w:val="Standard"/>
    <w:uiPriority w:val="99"/>
    <w:unhideWhenUsed/>
    <w:rsid w:val="00AE3C79"/>
    <w:pPr>
      <w:spacing w:after="100"/>
    </w:pPr>
  </w:style>
  <w:style w:type="table" w:customStyle="1" w:styleId="NTTDATAFutureBluetable">
    <w:name w:val="NTT DATA Future Blue table"/>
    <w:basedOn w:val="Tabellenraster"/>
    <w:uiPriority w:val="99"/>
    <w:rsid w:val="00D31D54"/>
    <w:pPr>
      <w:spacing w:line="264" w:lineRule="auto"/>
    </w:pPr>
    <w:rPr>
      <w:color w:val="FFFFFF" w:themeColor="text1"/>
    </w:rPr>
    <w:tblPr>
      <w:tblStyleRowBandSize w:val="1"/>
      <w:tblStyleColBandSize w:val="1"/>
      <w:tblBorders>
        <w:top w:val="single" w:sz="4" w:space="0" w:color="030712" w:themeColor="background1" w:themeShade="80"/>
        <w:bottom w:val="single" w:sz="4" w:space="0" w:color="030712" w:themeColor="background1" w:themeShade="80"/>
        <w:insideH w:val="single" w:sz="4" w:space="0" w:color="030712" w:themeColor="background1" w:themeShade="80"/>
        <w:insideV w:val="single" w:sz="4" w:space="0" w:color="030712" w:themeColor="background1" w:themeShade="80"/>
      </w:tblBorders>
      <w:tblCellMar>
        <w:top w:w="28" w:type="dxa"/>
        <w:bottom w:w="28" w:type="dxa"/>
      </w:tblCellMar>
    </w:tblPr>
    <w:trPr>
      <w:cantSplit/>
    </w:trPr>
    <w:tcPr>
      <w:shd w:val="clear" w:color="auto" w:fill="auto"/>
      <w:tcMar>
        <w:top w:w="85" w:type="dxa"/>
        <w:left w:w="85" w:type="dxa"/>
        <w:bottom w:w="85" w:type="dxa"/>
        <w:right w:w="85" w:type="dxa"/>
      </w:tcMar>
    </w:tcPr>
    <w:tblStylePr w:type="firstRow">
      <w:rPr>
        <w:b/>
        <w:color w:val="070F26" w:themeColor="background1"/>
      </w:rPr>
      <w:tblPr/>
      <w:tcPr>
        <w:shd w:val="clear" w:color="auto" w:fill="2E404D" w:themeFill="text2"/>
      </w:tcPr>
    </w:tblStylePr>
    <w:tblStylePr w:type="lastRow">
      <w:rPr>
        <w:b/>
        <w:color w:val="auto"/>
      </w:rPr>
      <w:tblPr/>
      <w:tcPr>
        <w:shd w:val="clear" w:color="auto" w:fill="C8FBFF" w:themeFill="accent2" w:themeFillTint="33"/>
      </w:tcPr>
    </w:tblStylePr>
    <w:tblStylePr w:type="firstCol">
      <w:rPr>
        <w:b/>
        <w:color w:val="070F26" w:themeColor="background1"/>
      </w:rPr>
      <w:tblPr/>
      <w:tcPr>
        <w:shd w:val="clear" w:color="auto" w:fill="2E404D" w:themeFill="text2"/>
      </w:tcPr>
    </w:tblStylePr>
    <w:tblStylePr w:type="lastCol">
      <w:rPr>
        <w:b/>
      </w:rPr>
      <w:tblPr/>
      <w:tcPr>
        <w:shd w:val="clear" w:color="auto" w:fill="C8FBFF" w:themeFill="accent2" w:themeFillTint="33"/>
      </w:tcPr>
    </w:tblStylePr>
    <w:tblStylePr w:type="band2Vert">
      <w:tblPr/>
      <w:tcPr>
        <w:shd w:val="clear" w:color="auto" w:fill="060E24" w:themeFill="background1" w:themeFillShade="F2"/>
      </w:tcPr>
    </w:tblStylePr>
    <w:tblStylePr w:type="band2Horz">
      <w:tblPr/>
      <w:tcPr>
        <w:shd w:val="clear" w:color="auto" w:fill="060E24" w:themeFill="background1" w:themeFillShade="F2"/>
      </w:tcPr>
    </w:tblStylePr>
  </w:style>
  <w:style w:type="paragraph" w:styleId="Textkrper">
    <w:name w:val="Body Text"/>
    <w:basedOn w:val="Standard"/>
    <w:link w:val="TextkrperZchn"/>
    <w:uiPriority w:val="99"/>
    <w:unhideWhenUsed/>
    <w:rsid w:val="00F42F0F"/>
    <w:pPr>
      <w:spacing w:before="160" w:after="160"/>
    </w:pPr>
  </w:style>
  <w:style w:type="character" w:styleId="Platzhaltertext">
    <w:name w:val="Placeholder Text"/>
    <w:basedOn w:val="Absatz-Standardschriftart"/>
    <w:uiPriority w:val="99"/>
    <w:semiHidden/>
    <w:rsid w:val="00AE3C79"/>
    <w:rPr>
      <w:color w:val="808080"/>
    </w:rPr>
  </w:style>
  <w:style w:type="paragraph" w:customStyle="1" w:styleId="Legalnumbering1">
    <w:name w:val="Legal numbering 1"/>
    <w:basedOn w:val="Bullet"/>
    <w:qFormat/>
    <w:rsid w:val="008923D1"/>
    <w:pPr>
      <w:numPr>
        <w:numId w:val="15"/>
      </w:numPr>
      <w:ind w:left="1134" w:hanging="1134"/>
    </w:pPr>
    <w:rPr>
      <w:color w:val="070F26" w:themeColor="background1"/>
    </w:rPr>
  </w:style>
  <w:style w:type="character" w:styleId="Kommentarzeichen">
    <w:name w:val="annotation reference"/>
    <w:basedOn w:val="Absatz-Standardschriftart"/>
    <w:uiPriority w:val="99"/>
    <w:semiHidden/>
    <w:unhideWhenUsed/>
    <w:rsid w:val="00AE3C79"/>
    <w:rPr>
      <w:sz w:val="16"/>
      <w:szCs w:val="16"/>
    </w:rPr>
  </w:style>
  <w:style w:type="paragraph" w:styleId="Kommentartext">
    <w:name w:val="annotation text"/>
    <w:basedOn w:val="Standard"/>
    <w:link w:val="KommentartextZchn"/>
    <w:uiPriority w:val="99"/>
    <w:unhideWhenUsed/>
    <w:rsid w:val="00AE3C79"/>
    <w:pPr>
      <w:spacing w:line="240" w:lineRule="auto"/>
    </w:pPr>
    <w:rPr>
      <w:szCs w:val="20"/>
    </w:rPr>
  </w:style>
  <w:style w:type="character" w:customStyle="1" w:styleId="KommentartextZchn">
    <w:name w:val="Kommentartext Zchn"/>
    <w:basedOn w:val="Absatz-Standardschriftart"/>
    <w:link w:val="Kommentartext"/>
    <w:uiPriority w:val="99"/>
    <w:rsid w:val="00AE3C79"/>
    <w:rPr>
      <w:rFonts w:ascii="Arial" w:hAnsi="Arial"/>
      <w:sz w:val="20"/>
      <w:szCs w:val="20"/>
      <w:lang w:val="en-US"/>
    </w:rPr>
  </w:style>
  <w:style w:type="paragraph" w:customStyle="1" w:styleId="Legalnumbering2">
    <w:name w:val="Legal numbering 2"/>
    <w:basedOn w:val="Legalnumbering1"/>
    <w:qFormat/>
    <w:rsid w:val="008923D1"/>
    <w:pPr>
      <w:numPr>
        <w:ilvl w:val="1"/>
      </w:numPr>
      <w:ind w:left="1134" w:hanging="1134"/>
    </w:pPr>
  </w:style>
  <w:style w:type="paragraph" w:customStyle="1" w:styleId="Legalnumbering3">
    <w:name w:val="Legal numbering 3"/>
    <w:basedOn w:val="Legalnumbering2"/>
    <w:qFormat/>
    <w:rsid w:val="008C7C4B"/>
    <w:pPr>
      <w:numPr>
        <w:ilvl w:val="2"/>
      </w:numPr>
      <w:ind w:left="1134" w:hanging="1134"/>
    </w:pPr>
  </w:style>
  <w:style w:type="paragraph" w:customStyle="1" w:styleId="Legalnumbering4">
    <w:name w:val="Legal numbering 4"/>
    <w:basedOn w:val="Standard"/>
    <w:qFormat/>
    <w:rsid w:val="008923D1"/>
    <w:pPr>
      <w:numPr>
        <w:ilvl w:val="3"/>
        <w:numId w:val="15"/>
      </w:numPr>
      <w:spacing w:before="160" w:after="160"/>
      <w:ind w:left="1134" w:hanging="1134"/>
      <w:contextualSpacing/>
    </w:pPr>
    <w:rPr>
      <w:rFonts w:eastAsia="Times New Roman" w:cs="Arial"/>
      <w:color w:val="070F26" w:themeColor="background1"/>
      <w:kern w:val="20"/>
      <w:szCs w:val="20"/>
      <w:lang w:val="en-GB"/>
      <w14:ligatures w14:val="none"/>
    </w:rPr>
  </w:style>
  <w:style w:type="paragraph" w:customStyle="1" w:styleId="Legalnumbering5">
    <w:name w:val="Legal numbering 5"/>
    <w:basedOn w:val="Standard"/>
    <w:qFormat/>
    <w:rsid w:val="008923D1"/>
    <w:pPr>
      <w:numPr>
        <w:ilvl w:val="4"/>
        <w:numId w:val="15"/>
      </w:numPr>
      <w:spacing w:before="160" w:after="160"/>
      <w:ind w:left="1134" w:hanging="1134"/>
      <w:contextualSpacing/>
    </w:pPr>
    <w:rPr>
      <w:rFonts w:eastAsia="Times New Roman" w:cs="Arial"/>
      <w:color w:val="070F26" w:themeColor="background1"/>
      <w:kern w:val="20"/>
      <w:szCs w:val="20"/>
      <w:lang w:val="en-GB"/>
      <w14:ligatures w14:val="none"/>
    </w:rPr>
  </w:style>
  <w:style w:type="paragraph" w:customStyle="1" w:styleId="Legalnumbering6">
    <w:name w:val="Legal numbering 6"/>
    <w:basedOn w:val="Standard"/>
    <w:qFormat/>
    <w:rsid w:val="008923D1"/>
    <w:pPr>
      <w:numPr>
        <w:ilvl w:val="5"/>
        <w:numId w:val="15"/>
      </w:numPr>
      <w:tabs>
        <w:tab w:val="left" w:pos="1134"/>
      </w:tabs>
      <w:spacing w:before="160" w:after="160"/>
      <w:contextualSpacing/>
    </w:pPr>
    <w:rPr>
      <w:rFonts w:eastAsia="Times New Roman" w:cs="Arial"/>
      <w:color w:val="070F26" w:themeColor="background1"/>
      <w:kern w:val="20"/>
      <w:szCs w:val="20"/>
      <w:lang w:val="en-GB"/>
      <w14:ligatures w14:val="none"/>
    </w:rPr>
  </w:style>
  <w:style w:type="character" w:customStyle="1" w:styleId="TextkrperZchn">
    <w:name w:val="Textkörper Zchn"/>
    <w:basedOn w:val="Absatz-Standardschriftart"/>
    <w:link w:val="Textkrper"/>
    <w:uiPriority w:val="99"/>
    <w:rsid w:val="00F42F0F"/>
    <w:rPr>
      <w:rFonts w:ascii="Arial" w:hAnsi="Arial"/>
      <w:sz w:val="20"/>
      <w:lang w:val="en-US"/>
    </w:rPr>
  </w:style>
  <w:style w:type="paragraph" w:styleId="Textkrper3">
    <w:name w:val="Body Text 3"/>
    <w:basedOn w:val="Standard"/>
    <w:link w:val="Textkrper3Zchn"/>
    <w:uiPriority w:val="99"/>
    <w:unhideWhenUsed/>
    <w:rsid w:val="00AE3C79"/>
    <w:pPr>
      <w:spacing w:before="160" w:after="160"/>
      <w:contextualSpacing/>
    </w:pPr>
    <w:rPr>
      <w:color w:val="FFFFFF" w:themeColor="text1"/>
      <w:sz w:val="17"/>
    </w:rPr>
  </w:style>
  <w:style w:type="character" w:customStyle="1" w:styleId="Textkrper3Zchn">
    <w:name w:val="Textkörper 3 Zchn"/>
    <w:basedOn w:val="Absatz-Standardschriftart"/>
    <w:link w:val="Textkrper3"/>
    <w:uiPriority w:val="99"/>
    <w:rsid w:val="00AE3C79"/>
    <w:rPr>
      <w:rFonts w:ascii="Arial" w:hAnsi="Arial"/>
      <w:color w:val="FFFFFF" w:themeColor="text1"/>
      <w:sz w:val="17"/>
      <w:lang w:val="en-US"/>
    </w:rPr>
  </w:style>
  <w:style w:type="paragraph" w:styleId="Textkrper-Zeileneinzug">
    <w:name w:val="Body Text Indent"/>
    <w:basedOn w:val="Standard"/>
    <w:link w:val="Textkrper-ZeileneinzugZchn"/>
    <w:uiPriority w:val="99"/>
    <w:semiHidden/>
    <w:unhideWhenUsed/>
    <w:rsid w:val="00AE3C79"/>
    <w:pPr>
      <w:spacing w:after="120"/>
      <w:ind w:left="283"/>
    </w:pPr>
  </w:style>
  <w:style w:type="character" w:customStyle="1" w:styleId="Textkrper-ZeileneinzugZchn">
    <w:name w:val="Textkörper-Zeileneinzug Zchn"/>
    <w:basedOn w:val="Absatz-Standardschriftart"/>
    <w:link w:val="Textkrper-Zeileneinzug"/>
    <w:uiPriority w:val="99"/>
    <w:semiHidden/>
    <w:rsid w:val="00AE3C79"/>
    <w:rPr>
      <w:rFonts w:ascii="Arial" w:hAnsi="Arial"/>
      <w:sz w:val="20"/>
      <w:lang w:val="en-US"/>
    </w:rPr>
  </w:style>
  <w:style w:type="paragraph" w:styleId="Textkrper-Einzug3">
    <w:name w:val="Body Text Indent 3"/>
    <w:basedOn w:val="Standard"/>
    <w:link w:val="Textkrper-Einzug3Zchn"/>
    <w:uiPriority w:val="99"/>
    <w:semiHidden/>
    <w:unhideWhenUsed/>
    <w:rsid w:val="00AE3C79"/>
    <w:pPr>
      <w:spacing w:after="120"/>
      <w:ind w:left="284"/>
    </w:pPr>
    <w:rPr>
      <w:sz w:val="17"/>
      <w:szCs w:val="16"/>
    </w:rPr>
  </w:style>
  <w:style w:type="paragraph" w:styleId="Textkrper-Einzug2">
    <w:name w:val="Body Text Indent 2"/>
    <w:basedOn w:val="Standard"/>
    <w:link w:val="Textkrper-Einzug2Zchn"/>
    <w:uiPriority w:val="99"/>
    <w:semiHidden/>
    <w:unhideWhenUsed/>
    <w:rsid w:val="00AE3C79"/>
    <w:pPr>
      <w:spacing w:after="120"/>
      <w:ind w:left="284"/>
    </w:pPr>
  </w:style>
  <w:style w:type="character" w:customStyle="1" w:styleId="Textkrper-Einzug2Zchn">
    <w:name w:val="Textkörper-Einzug 2 Zchn"/>
    <w:basedOn w:val="Absatz-Standardschriftart"/>
    <w:link w:val="Textkrper-Einzug2"/>
    <w:uiPriority w:val="99"/>
    <w:semiHidden/>
    <w:rsid w:val="00AE3C79"/>
    <w:rPr>
      <w:rFonts w:ascii="Arial" w:hAnsi="Arial"/>
      <w:sz w:val="20"/>
      <w:lang w:val="en-US"/>
    </w:rPr>
  </w:style>
  <w:style w:type="character" w:customStyle="1" w:styleId="Textkrper-Einzug3Zchn">
    <w:name w:val="Textkörper-Einzug 3 Zchn"/>
    <w:basedOn w:val="Absatz-Standardschriftart"/>
    <w:link w:val="Textkrper-Einzug3"/>
    <w:uiPriority w:val="99"/>
    <w:semiHidden/>
    <w:rsid w:val="00AE3C79"/>
    <w:rPr>
      <w:rFonts w:ascii="Arial" w:hAnsi="Arial"/>
      <w:sz w:val="17"/>
      <w:szCs w:val="16"/>
      <w:lang w:val="en-US"/>
    </w:rPr>
  </w:style>
  <w:style w:type="numbering" w:customStyle="1" w:styleId="NTTDATAAppendixList">
    <w:name w:val="_NTT DATA Appendix List"/>
    <w:uiPriority w:val="89"/>
    <w:rsid w:val="00F93B13"/>
    <w:pPr>
      <w:numPr>
        <w:numId w:val="1"/>
      </w:numPr>
    </w:pPr>
  </w:style>
  <w:style w:type="paragraph" w:customStyle="1" w:styleId="AppendixHeading2">
    <w:name w:val="Appendix Heading 2"/>
    <w:basedOn w:val="berschrift2"/>
    <w:next w:val="Standard"/>
    <w:uiPriority w:val="5"/>
    <w:qFormat/>
    <w:rsid w:val="00D31D54"/>
    <w:pPr>
      <w:numPr>
        <w:numId w:val="12"/>
      </w:numPr>
      <w:tabs>
        <w:tab w:val="left" w:pos="1701"/>
      </w:tabs>
    </w:pPr>
    <w:rPr>
      <w:bCs w:val="0"/>
      <w:szCs w:val="32"/>
    </w:rPr>
  </w:style>
  <w:style w:type="paragraph" w:customStyle="1" w:styleId="AppendixHeading3">
    <w:name w:val="Appendix Heading 3"/>
    <w:basedOn w:val="berschrift3"/>
    <w:next w:val="Standard"/>
    <w:uiPriority w:val="5"/>
    <w:qFormat/>
    <w:rsid w:val="00AE3C79"/>
    <w:pPr>
      <w:numPr>
        <w:numId w:val="12"/>
      </w:numPr>
      <w:tabs>
        <w:tab w:val="left" w:pos="1701"/>
      </w:tabs>
    </w:pPr>
    <w:rPr>
      <w:rFonts w:asciiTheme="minorHAnsi" w:hAnsiTheme="minorHAnsi"/>
      <w:bCs/>
    </w:rPr>
  </w:style>
  <w:style w:type="table" w:customStyle="1" w:styleId="NTTDATAFutureBluetable0">
    <w:name w:val="NTT DATA Future Blue table"/>
    <w:basedOn w:val="Tabellenraster"/>
    <w:next w:val="NTTDATAFutureBluetable"/>
    <w:uiPriority w:val="99"/>
    <w:rsid w:val="00F42F0F"/>
    <w:pPr>
      <w:spacing w:line="264" w:lineRule="auto"/>
    </w:pPr>
    <w:tblPr>
      <w:tblStyleRowBandSize w:val="1"/>
      <w:tblStyleColBandSize w:val="1"/>
      <w:tblBorders>
        <w:top w:val="single" w:sz="4" w:space="0" w:color="030712" w:themeColor="background1" w:themeShade="80"/>
        <w:bottom w:val="single" w:sz="4" w:space="0" w:color="030712" w:themeColor="background1" w:themeShade="80"/>
        <w:insideH w:val="single" w:sz="4" w:space="0" w:color="030712" w:themeColor="background1" w:themeShade="80"/>
        <w:insideV w:val="single" w:sz="4" w:space="0" w:color="030712" w:themeColor="background1" w:themeShade="80"/>
      </w:tblBorders>
      <w:tblCellMar>
        <w:top w:w="28" w:type="dxa"/>
        <w:bottom w:w="28" w:type="dxa"/>
      </w:tblCellMar>
    </w:tblPr>
    <w:trPr>
      <w:cantSplit/>
    </w:trPr>
    <w:tcPr>
      <w:shd w:val="clear" w:color="auto" w:fill="auto"/>
      <w:tcMar>
        <w:top w:w="85" w:type="dxa"/>
        <w:left w:w="85" w:type="dxa"/>
        <w:bottom w:w="85" w:type="dxa"/>
        <w:right w:w="85" w:type="dxa"/>
      </w:tcMar>
    </w:tcPr>
    <w:tblStylePr w:type="firstRow">
      <w:rPr>
        <w:b/>
        <w:color w:val="FFFFFF" w:themeColor="text1"/>
      </w:rPr>
      <w:tblPr/>
      <w:tcPr>
        <w:tcBorders>
          <w:bottom w:val="single" w:sz="4" w:space="0" w:color="949494" w:themeColor="accent6"/>
        </w:tcBorders>
        <w:shd w:val="clear" w:color="auto" w:fill="0072BC" w:themeFill="background2"/>
      </w:tcPr>
    </w:tblStylePr>
    <w:tblStylePr w:type="lastRow">
      <w:rPr>
        <w:b/>
        <w:color w:val="auto"/>
      </w:rPr>
      <w:tblPr/>
      <w:tcPr>
        <w:shd w:val="clear" w:color="auto" w:fill="C8FBFF" w:themeFill="accent2" w:themeFillTint="33"/>
      </w:tcPr>
    </w:tblStylePr>
    <w:tblStylePr w:type="firstCol">
      <w:rPr>
        <w:b/>
        <w:color w:val="FFFFFF" w:themeColor="text1"/>
      </w:rPr>
      <w:tblPr/>
      <w:tcPr>
        <w:shd w:val="clear" w:color="auto" w:fill="0072BC" w:themeFill="background2"/>
      </w:tcPr>
    </w:tblStylePr>
    <w:tblStylePr w:type="lastCol">
      <w:rPr>
        <w:b/>
      </w:rPr>
      <w:tblPr/>
      <w:tcPr>
        <w:shd w:val="clear" w:color="auto" w:fill="C8FBFF" w:themeFill="accent2" w:themeFillTint="33"/>
      </w:tcPr>
    </w:tblStylePr>
    <w:tblStylePr w:type="band2Vert">
      <w:tblPr/>
      <w:tcPr>
        <w:shd w:val="clear" w:color="auto" w:fill="FFFFFF" w:themeFill="text1"/>
      </w:tcPr>
    </w:tblStylePr>
    <w:tblStylePr w:type="band2Horz">
      <w:tblPr/>
      <w:tcPr>
        <w:shd w:val="clear" w:color="auto" w:fill="FFFFFF" w:themeFill="text1"/>
      </w:tcPr>
    </w:tblStylePr>
  </w:style>
  <w:style w:type="numbering" w:customStyle="1" w:styleId="NTTDATABulletList">
    <w:name w:val="_NTT DATA Bullet List"/>
    <w:uiPriority w:val="89"/>
    <w:rsid w:val="00DD1DB4"/>
    <w:pPr>
      <w:numPr>
        <w:numId w:val="3"/>
      </w:numPr>
    </w:pPr>
  </w:style>
  <w:style w:type="numbering" w:customStyle="1" w:styleId="NTTDATAFlushBlueBulletList">
    <w:name w:val="_NTT DATA Flush Blue Bullet List"/>
    <w:rsid w:val="00DD1DB4"/>
    <w:pPr>
      <w:numPr>
        <w:numId w:val="4"/>
      </w:numPr>
    </w:pPr>
  </w:style>
  <w:style w:type="paragraph" w:customStyle="1" w:styleId="NTTDATABullet1">
    <w:name w:val="NTT DATA Bullet 1"/>
    <w:basedOn w:val="Standard"/>
    <w:link w:val="NTTDATABullet1Char"/>
    <w:uiPriority w:val="9"/>
    <w:qFormat/>
    <w:rsid w:val="008923D1"/>
    <w:pPr>
      <w:numPr>
        <w:numId w:val="5"/>
      </w:numPr>
      <w:tabs>
        <w:tab w:val="clear" w:pos="1134"/>
      </w:tabs>
      <w:spacing w:before="160" w:after="160"/>
      <w:ind w:left="1191" w:hanging="340"/>
      <w:contextualSpacing/>
    </w:pPr>
    <w:rPr>
      <w:rFonts w:eastAsia="Times New Roman" w:cs="Arial"/>
      <w:color w:val="070F26" w:themeColor="background1"/>
      <w:kern w:val="20"/>
      <w:szCs w:val="20"/>
      <w:lang w:val="en-GB"/>
      <w14:ligatures w14:val="none"/>
    </w:rPr>
  </w:style>
  <w:style w:type="character" w:customStyle="1" w:styleId="NTTDATABullet1Char">
    <w:name w:val="NTT DATA Bullet 1 Char"/>
    <w:basedOn w:val="Absatz-Standardschriftart"/>
    <w:link w:val="NTTDATABullet1"/>
    <w:uiPriority w:val="9"/>
    <w:rsid w:val="008923D1"/>
    <w:rPr>
      <w:rFonts w:ascii="Arial" w:eastAsia="Times New Roman" w:hAnsi="Arial" w:cs="Arial"/>
      <w:color w:val="070F26" w:themeColor="background1"/>
      <w:kern w:val="20"/>
      <w:sz w:val="20"/>
      <w:szCs w:val="20"/>
      <w:lang w:val="en-GB"/>
      <w14:ligatures w14:val="none"/>
    </w:rPr>
  </w:style>
  <w:style w:type="paragraph" w:customStyle="1" w:styleId="NTTDATABullet2">
    <w:name w:val="NTT DATA Bullet 2"/>
    <w:basedOn w:val="NTTDATABullet1"/>
    <w:uiPriority w:val="9"/>
    <w:qFormat/>
    <w:rsid w:val="00B10354"/>
    <w:pPr>
      <w:numPr>
        <w:ilvl w:val="1"/>
      </w:numPr>
      <w:tabs>
        <w:tab w:val="clear" w:pos="1418"/>
      </w:tabs>
      <w:ind w:left="1531" w:hanging="340"/>
    </w:pPr>
  </w:style>
  <w:style w:type="paragraph" w:customStyle="1" w:styleId="NTTDATABullet3">
    <w:name w:val="NTT DATA Bullet 3"/>
    <w:basedOn w:val="NTTDATABullet2"/>
    <w:uiPriority w:val="9"/>
    <w:qFormat/>
    <w:rsid w:val="00252A11"/>
    <w:pPr>
      <w:numPr>
        <w:ilvl w:val="2"/>
      </w:numPr>
      <w:tabs>
        <w:tab w:val="clear" w:pos="1701"/>
      </w:tabs>
      <w:ind w:left="1815" w:hanging="284"/>
    </w:pPr>
  </w:style>
  <w:style w:type="paragraph" w:customStyle="1" w:styleId="NTTDATABullet4">
    <w:name w:val="NTT DATA Bullet 4"/>
    <w:basedOn w:val="Standard"/>
    <w:uiPriority w:val="9"/>
    <w:rsid w:val="003F66EC"/>
    <w:pPr>
      <w:numPr>
        <w:ilvl w:val="3"/>
        <w:numId w:val="5"/>
      </w:numPr>
      <w:tabs>
        <w:tab w:val="clear" w:pos="1418"/>
      </w:tabs>
      <w:spacing w:before="160" w:after="160"/>
      <w:ind w:left="1531" w:hanging="680"/>
      <w:contextualSpacing/>
    </w:pPr>
    <w:rPr>
      <w:rFonts w:eastAsia="Times New Roman" w:cs="Arial"/>
      <w:color w:val="070F26" w:themeColor="background1"/>
      <w:kern w:val="20"/>
      <w:szCs w:val="20"/>
      <w:lang w:val="en-GB"/>
      <w14:ligatures w14:val="none"/>
    </w:rPr>
  </w:style>
  <w:style w:type="paragraph" w:customStyle="1" w:styleId="NTTDATABullet5">
    <w:name w:val="NTT DATA Bullet 5"/>
    <w:basedOn w:val="NTTDATABullet4"/>
    <w:uiPriority w:val="9"/>
    <w:rsid w:val="003F66EC"/>
    <w:pPr>
      <w:numPr>
        <w:ilvl w:val="4"/>
      </w:numPr>
      <w:tabs>
        <w:tab w:val="clear" w:pos="1418"/>
      </w:tabs>
      <w:ind w:left="1531" w:hanging="680"/>
    </w:pPr>
  </w:style>
  <w:style w:type="paragraph" w:customStyle="1" w:styleId="NTTDATABullet6">
    <w:name w:val="NTT DATA Bullet 6"/>
    <w:basedOn w:val="NTTDATABullet5"/>
    <w:uiPriority w:val="9"/>
    <w:rsid w:val="00B23563"/>
    <w:pPr>
      <w:numPr>
        <w:ilvl w:val="5"/>
      </w:numPr>
      <w:tabs>
        <w:tab w:val="clear" w:pos="1418"/>
      </w:tabs>
      <w:ind w:left="1531" w:hanging="680"/>
    </w:pPr>
  </w:style>
  <w:style w:type="paragraph" w:customStyle="1" w:styleId="NTTDATABullet7">
    <w:name w:val="NTT DATA Bullet 7"/>
    <w:basedOn w:val="Standard"/>
    <w:uiPriority w:val="9"/>
    <w:qFormat/>
    <w:rsid w:val="00F42F0F"/>
    <w:pPr>
      <w:numPr>
        <w:ilvl w:val="6"/>
        <w:numId w:val="5"/>
      </w:numPr>
      <w:tabs>
        <w:tab w:val="clear" w:pos="1418"/>
      </w:tabs>
      <w:spacing w:before="160" w:after="160"/>
      <w:ind w:left="1531" w:hanging="340"/>
      <w:contextualSpacing/>
    </w:pPr>
    <w:rPr>
      <w:rFonts w:eastAsia="Times New Roman" w:cs="Arial"/>
      <w:color w:val="070F26" w:themeColor="background1"/>
      <w:kern w:val="20"/>
      <w:szCs w:val="20"/>
      <w:lang w:val="en-GB"/>
      <w14:ligatures w14:val="none"/>
    </w:rPr>
  </w:style>
  <w:style w:type="paragraph" w:customStyle="1" w:styleId="NTTDATABullet8">
    <w:name w:val="NTT DATA Bullet 8"/>
    <w:basedOn w:val="NTTDATABullet7"/>
    <w:uiPriority w:val="9"/>
    <w:qFormat/>
    <w:rsid w:val="003F66EC"/>
    <w:pPr>
      <w:numPr>
        <w:ilvl w:val="7"/>
      </w:numPr>
      <w:tabs>
        <w:tab w:val="clear" w:pos="1985"/>
      </w:tabs>
      <w:ind w:left="1814" w:hanging="340"/>
    </w:pPr>
  </w:style>
  <w:style w:type="paragraph" w:customStyle="1" w:styleId="NTTDATABullet9">
    <w:name w:val="NTT DATA Bullet 9"/>
    <w:basedOn w:val="NTTDATABullet8"/>
    <w:uiPriority w:val="9"/>
    <w:qFormat/>
    <w:rsid w:val="004C2406"/>
    <w:pPr>
      <w:numPr>
        <w:ilvl w:val="8"/>
      </w:numPr>
      <w:tabs>
        <w:tab w:val="clear" w:pos="2552"/>
      </w:tabs>
      <w:ind w:left="1814" w:hanging="340"/>
    </w:pPr>
  </w:style>
  <w:style w:type="paragraph" w:customStyle="1" w:styleId="NTTDATATableBullet1">
    <w:name w:val="NTT DATA Table Bullet 1"/>
    <w:basedOn w:val="Standard"/>
    <w:uiPriority w:val="14"/>
    <w:rsid w:val="003F66EC"/>
    <w:pPr>
      <w:numPr>
        <w:numId w:val="2"/>
      </w:numPr>
      <w:tabs>
        <w:tab w:val="clear" w:pos="283"/>
      </w:tabs>
      <w:ind w:left="340" w:hanging="340"/>
      <w:contextualSpacing/>
    </w:pPr>
    <w:rPr>
      <w:rFonts w:eastAsia="Times New Roman" w:cs="Arial"/>
      <w:color w:val="070F26" w:themeColor="background1"/>
      <w:kern w:val="18"/>
      <w:szCs w:val="18"/>
      <w:lang w:val="en-GB"/>
      <w14:ligatures w14:val="none"/>
    </w:rPr>
  </w:style>
  <w:style w:type="paragraph" w:customStyle="1" w:styleId="NTTDATATableBullet2">
    <w:name w:val="NTT DATA Table Bullet 2"/>
    <w:basedOn w:val="NTTDATATableBullet1"/>
    <w:uiPriority w:val="14"/>
    <w:rsid w:val="00E728B1"/>
    <w:pPr>
      <w:numPr>
        <w:ilvl w:val="1"/>
        <w:numId w:val="6"/>
      </w:numPr>
      <w:tabs>
        <w:tab w:val="clear" w:pos="567"/>
      </w:tabs>
      <w:ind w:left="851" w:hanging="454"/>
    </w:pPr>
  </w:style>
  <w:style w:type="paragraph" w:customStyle="1" w:styleId="NTTDATATableBullet3">
    <w:name w:val="NTT DATA Table Bullet 3"/>
    <w:basedOn w:val="NTTDATATableBullet2"/>
    <w:uiPriority w:val="14"/>
    <w:rsid w:val="004703D8"/>
    <w:pPr>
      <w:numPr>
        <w:ilvl w:val="2"/>
      </w:numPr>
      <w:tabs>
        <w:tab w:val="clear" w:pos="851"/>
      </w:tabs>
      <w:ind w:left="964"/>
    </w:pPr>
  </w:style>
  <w:style w:type="paragraph" w:customStyle="1" w:styleId="NTTDATATableBullet4">
    <w:name w:val="NTT DATA Table Bullet 4"/>
    <w:basedOn w:val="Standard"/>
    <w:uiPriority w:val="14"/>
    <w:rsid w:val="0005039A"/>
    <w:pPr>
      <w:numPr>
        <w:ilvl w:val="3"/>
        <w:numId w:val="2"/>
      </w:numPr>
      <w:tabs>
        <w:tab w:val="clear" w:pos="567"/>
      </w:tabs>
      <w:ind w:left="851" w:hanging="851"/>
      <w:contextualSpacing/>
    </w:pPr>
    <w:rPr>
      <w:rFonts w:eastAsia="Times New Roman" w:cs="Arial"/>
      <w:color w:val="FFFFFF" w:themeColor="text1"/>
      <w:kern w:val="18"/>
      <w:szCs w:val="20"/>
      <w:lang w:val="en-GB"/>
      <w14:ligatures w14:val="none"/>
    </w:rPr>
  </w:style>
  <w:style w:type="paragraph" w:customStyle="1" w:styleId="NTTDATATableBullet5">
    <w:name w:val="NTT DATA Table Bullet 5"/>
    <w:basedOn w:val="Standard"/>
    <w:uiPriority w:val="14"/>
    <w:rsid w:val="0005039A"/>
    <w:pPr>
      <w:numPr>
        <w:ilvl w:val="4"/>
        <w:numId w:val="2"/>
      </w:numPr>
      <w:tabs>
        <w:tab w:val="clear" w:pos="567"/>
      </w:tabs>
      <w:ind w:left="851" w:hanging="851"/>
    </w:pPr>
    <w:rPr>
      <w:rFonts w:eastAsia="Times New Roman" w:cs="Arial"/>
      <w:color w:val="FFFFFF" w:themeColor="text1"/>
      <w:kern w:val="18"/>
      <w:szCs w:val="20"/>
      <w:lang w:val="en-GB"/>
      <w14:ligatures w14:val="none"/>
    </w:rPr>
  </w:style>
  <w:style w:type="paragraph" w:customStyle="1" w:styleId="NTTDATATableBullet6">
    <w:name w:val="NTT DATA Table Bullet 6"/>
    <w:basedOn w:val="Standard"/>
    <w:uiPriority w:val="14"/>
    <w:rsid w:val="003F66EC"/>
    <w:pPr>
      <w:numPr>
        <w:ilvl w:val="5"/>
        <w:numId w:val="2"/>
      </w:numPr>
      <w:tabs>
        <w:tab w:val="clear" w:pos="567"/>
      </w:tabs>
      <w:ind w:left="851" w:hanging="851"/>
      <w:contextualSpacing/>
    </w:pPr>
    <w:rPr>
      <w:rFonts w:eastAsia="Times New Roman" w:cs="Arial"/>
      <w:color w:val="070F26" w:themeColor="background1"/>
      <w:kern w:val="18"/>
      <w:szCs w:val="20"/>
      <w:lang w:val="en-GB"/>
      <w14:ligatures w14:val="none"/>
    </w:rPr>
  </w:style>
  <w:style w:type="paragraph" w:customStyle="1" w:styleId="NTTDATATableBullet7">
    <w:name w:val="NTT DATA Table Bullet 7"/>
    <w:basedOn w:val="Standard"/>
    <w:uiPriority w:val="14"/>
    <w:rsid w:val="003F66EC"/>
    <w:pPr>
      <w:numPr>
        <w:ilvl w:val="6"/>
        <w:numId w:val="2"/>
      </w:numPr>
      <w:tabs>
        <w:tab w:val="clear" w:pos="567"/>
      </w:tabs>
      <w:ind w:left="680" w:hanging="340"/>
      <w:contextualSpacing/>
    </w:pPr>
    <w:rPr>
      <w:rFonts w:eastAsia="Times New Roman" w:cs="Arial"/>
      <w:color w:val="070F26" w:themeColor="background1"/>
      <w:kern w:val="18"/>
      <w:szCs w:val="20"/>
      <w:lang w:val="en-GB"/>
      <w14:ligatures w14:val="none"/>
    </w:rPr>
  </w:style>
  <w:style w:type="paragraph" w:customStyle="1" w:styleId="NTTDATATableBullet8">
    <w:name w:val="NTT DATA Table Bullet 8"/>
    <w:basedOn w:val="NTTDATATableBullet7"/>
    <w:uiPriority w:val="14"/>
    <w:rsid w:val="00D87AB2"/>
    <w:pPr>
      <w:numPr>
        <w:ilvl w:val="7"/>
        <w:numId w:val="6"/>
      </w:numPr>
      <w:tabs>
        <w:tab w:val="clear" w:pos="1134"/>
      </w:tabs>
      <w:ind w:left="964" w:hanging="340"/>
    </w:pPr>
  </w:style>
  <w:style w:type="paragraph" w:customStyle="1" w:styleId="NTTDATATableBullet9">
    <w:name w:val="NTT DATA Table Bullet 9"/>
    <w:basedOn w:val="NTTDATATableBullet8"/>
    <w:uiPriority w:val="14"/>
    <w:rsid w:val="004C2406"/>
    <w:pPr>
      <w:numPr>
        <w:ilvl w:val="8"/>
      </w:numPr>
      <w:ind w:left="964" w:hanging="340"/>
    </w:pPr>
  </w:style>
  <w:style w:type="paragraph" w:styleId="Sprechblasentext">
    <w:name w:val="Balloon Text"/>
    <w:basedOn w:val="Standard"/>
    <w:link w:val="SprechblasentextZchn"/>
    <w:uiPriority w:val="99"/>
    <w:semiHidden/>
    <w:unhideWhenUsed/>
    <w:rsid w:val="00AE3C79"/>
    <w:pPr>
      <w:spacing w:line="240" w:lineRule="auto"/>
    </w:pPr>
    <w:rPr>
      <w:rFonts w:asciiTheme="minorHAnsi" w:hAnsiTheme="minorHAnsi" w:cs="Segoe UI"/>
      <w:sz w:val="18"/>
      <w:szCs w:val="18"/>
    </w:rPr>
  </w:style>
  <w:style w:type="character" w:customStyle="1" w:styleId="SprechblasentextZchn">
    <w:name w:val="Sprechblasentext Zchn"/>
    <w:basedOn w:val="Absatz-Standardschriftart"/>
    <w:link w:val="Sprechblasentext"/>
    <w:uiPriority w:val="99"/>
    <w:semiHidden/>
    <w:rsid w:val="00AE3C79"/>
    <w:rPr>
      <w:rFonts w:cs="Segoe UI"/>
      <w:sz w:val="18"/>
      <w:szCs w:val="18"/>
      <w:lang w:val="en-US"/>
    </w:rPr>
  </w:style>
  <w:style w:type="paragraph" w:styleId="Literaturverzeichnis">
    <w:name w:val="Bibliography"/>
    <w:basedOn w:val="Standard"/>
    <w:next w:val="Standard"/>
    <w:uiPriority w:val="37"/>
    <w:semiHidden/>
    <w:unhideWhenUsed/>
    <w:rsid w:val="00AE3C79"/>
  </w:style>
  <w:style w:type="paragraph" w:styleId="Standardeinzug">
    <w:name w:val="Normal Indent"/>
    <w:basedOn w:val="Standard"/>
    <w:uiPriority w:val="99"/>
    <w:semiHidden/>
    <w:unhideWhenUsed/>
    <w:rsid w:val="00AE3C79"/>
    <w:pPr>
      <w:ind w:left="851"/>
    </w:pPr>
    <w:rPr>
      <w:color w:val="FFFFFF" w:themeColor="text1"/>
    </w:rPr>
  </w:style>
  <w:style w:type="character" w:styleId="Seitenzahl">
    <w:name w:val="page number"/>
    <w:basedOn w:val="Absatz-Standardschriftart"/>
    <w:uiPriority w:val="99"/>
    <w:semiHidden/>
    <w:unhideWhenUsed/>
    <w:rsid w:val="00AE3C79"/>
    <w:rPr>
      <w:rFonts w:ascii="Arial" w:hAnsi="Arial"/>
      <w:color w:val="FFFFFF" w:themeColor="text1"/>
    </w:rPr>
  </w:style>
  <w:style w:type="paragraph" w:customStyle="1" w:styleId="NTTDATAAPicture">
    <w:name w:val="NTT DATA A Picture"/>
    <w:basedOn w:val="Standard"/>
    <w:next w:val="Beschriftung"/>
    <w:uiPriority w:val="9"/>
    <w:rsid w:val="00A420BE"/>
    <w:pPr>
      <w:keepNext/>
    </w:pPr>
    <w:rPr>
      <w:rFonts w:eastAsia="Times New Roman" w:cs="Arial"/>
      <w:kern w:val="20"/>
      <w:szCs w:val="20"/>
      <w:lang w:val="en-GB"/>
      <w14:ligatures w14:val="none"/>
    </w:rPr>
  </w:style>
  <w:style w:type="paragraph" w:customStyle="1" w:styleId="NTTDATAAttachment">
    <w:name w:val="NTT DATA Attachment"/>
    <w:next w:val="Standard"/>
    <w:link w:val="NTTDATAAttachmentChar"/>
    <w:unhideWhenUsed/>
    <w:locked/>
    <w:rsid w:val="00AB5773"/>
    <w:pPr>
      <w:pageBreakBefore/>
      <w:spacing w:before="240" w:after="120" w:line="264" w:lineRule="auto"/>
      <w:outlineLvl w:val="0"/>
    </w:pPr>
    <w:rPr>
      <w:rFonts w:ascii="Arial Bold" w:hAnsi="Arial Bold" w:cs="Arial"/>
      <w:b/>
      <w:color w:val="FFFFFF" w:themeColor="text1"/>
      <w:kern w:val="20"/>
      <w:sz w:val="20"/>
      <w:szCs w:val="22"/>
      <w:lang w:val="en-GB"/>
      <w14:ligatures w14:val="none"/>
    </w:rPr>
  </w:style>
  <w:style w:type="character" w:customStyle="1" w:styleId="NTTDATAAttachmentChar">
    <w:name w:val="NTT DATA Attachment Char"/>
    <w:basedOn w:val="Absatz-Standardschriftart"/>
    <w:link w:val="NTTDATAAttachment"/>
    <w:rsid w:val="00AB5773"/>
    <w:rPr>
      <w:rFonts w:ascii="Arial Bold" w:hAnsi="Arial Bold" w:cs="Arial"/>
      <w:b/>
      <w:color w:val="FFFFFF" w:themeColor="text1"/>
      <w:kern w:val="20"/>
      <w:sz w:val="20"/>
      <w:szCs w:val="22"/>
      <w:lang w:val="en-GB"/>
      <w14:ligatures w14:val="none"/>
    </w:rPr>
  </w:style>
  <w:style w:type="paragraph" w:customStyle="1" w:styleId="NTTDATABodyBoldText">
    <w:name w:val="NTT DATA Body Bold Text"/>
    <w:basedOn w:val="Standard"/>
    <w:next w:val="Standard"/>
    <w:uiPriority w:val="9"/>
    <w:qFormat/>
    <w:rsid w:val="003F66EC"/>
    <w:pPr>
      <w:keepNext/>
      <w:keepLines/>
      <w:spacing w:before="160" w:after="160"/>
      <w:ind w:left="851"/>
    </w:pPr>
    <w:rPr>
      <w:rFonts w:ascii="Arial Bold" w:eastAsia="Times New Roman" w:hAnsi="Arial Bold" w:cs="Arial"/>
      <w:b/>
      <w:color w:val="070F26" w:themeColor="background1"/>
      <w:kern w:val="20"/>
      <w:szCs w:val="20"/>
      <w:lang w:val="en-GB"/>
      <w14:ligatures w14:val="none"/>
    </w:rPr>
  </w:style>
  <w:style w:type="paragraph" w:customStyle="1" w:styleId="NTTDATAFlushBodyText">
    <w:name w:val="NTT DATA Flush Body Text"/>
    <w:basedOn w:val="Standard"/>
    <w:uiPriority w:val="4"/>
    <w:rsid w:val="00000290"/>
    <w:pPr>
      <w:spacing w:before="160" w:after="160"/>
    </w:pPr>
    <w:rPr>
      <w:rFonts w:eastAsia="Times New Roman" w:cs="Arial"/>
      <w:color w:val="FFFFFF" w:themeColor="text1"/>
      <w:kern w:val="20"/>
      <w:szCs w:val="20"/>
      <w:lang w:val="en-GB"/>
      <w14:ligatures w14:val="none"/>
    </w:rPr>
  </w:style>
  <w:style w:type="paragraph" w:customStyle="1" w:styleId="NTTDATAFlushBodyBold">
    <w:name w:val="NTT DATA Flush Body Bold"/>
    <w:basedOn w:val="NTTDATAFlushBodyText"/>
    <w:next w:val="NTTDATAFlushBodyText"/>
    <w:uiPriority w:val="19"/>
    <w:rsid w:val="00F42F0F"/>
    <w:pPr>
      <w:keepNext/>
      <w:keepLines/>
    </w:pPr>
    <w:rPr>
      <w:rFonts w:ascii="Arial Bold" w:hAnsi="Arial Bold"/>
      <w:b/>
      <w:color w:val="auto"/>
    </w:rPr>
  </w:style>
  <w:style w:type="paragraph" w:customStyle="1" w:styleId="NTTDATAFlushPicture">
    <w:name w:val="NTT DATA Flush Picture"/>
    <w:basedOn w:val="NTTDATAFlushBodyText"/>
    <w:next w:val="Standard"/>
    <w:uiPriority w:val="19"/>
    <w:qFormat/>
    <w:rsid w:val="00E32017"/>
  </w:style>
  <w:style w:type="paragraph" w:customStyle="1" w:styleId="NTTDATALegalBody">
    <w:name w:val="NTT DATA Legal Body"/>
    <w:link w:val="NTTDATALegalBodyChar"/>
    <w:unhideWhenUsed/>
    <w:locked/>
    <w:rsid w:val="00E32017"/>
    <w:pPr>
      <w:spacing w:before="160" w:after="160" w:line="264" w:lineRule="auto"/>
    </w:pPr>
    <w:rPr>
      <w:rFonts w:ascii="Arial" w:hAnsi="Arial" w:cs="Arial"/>
      <w:color w:val="FFFFFF" w:themeColor="text1"/>
      <w:kern w:val="20"/>
      <w:sz w:val="20"/>
      <w:szCs w:val="22"/>
      <w:lang w:val="en-GB"/>
      <w14:ligatures w14:val="none"/>
    </w:rPr>
  </w:style>
  <w:style w:type="character" w:customStyle="1" w:styleId="NTTDATALegalBodyChar">
    <w:name w:val="NTT DATA Legal Body Char"/>
    <w:basedOn w:val="Absatz-Standardschriftart"/>
    <w:link w:val="NTTDATALegalBody"/>
    <w:rsid w:val="00E32017"/>
    <w:rPr>
      <w:rFonts w:ascii="Arial" w:hAnsi="Arial" w:cs="Arial"/>
      <w:color w:val="FFFFFF" w:themeColor="text1"/>
      <w:kern w:val="20"/>
      <w:sz w:val="20"/>
      <w:szCs w:val="22"/>
      <w:lang w:val="en-GB"/>
      <w14:ligatures w14:val="none"/>
    </w:rPr>
  </w:style>
  <w:style w:type="paragraph" w:customStyle="1" w:styleId="NTTDATALegal1">
    <w:name w:val="NTT DATA Legal_1"/>
    <w:basedOn w:val="Legalnumbering1"/>
    <w:next w:val="Standard"/>
    <w:link w:val="NTTDATALegal1Char"/>
    <w:unhideWhenUsed/>
    <w:locked/>
    <w:rsid w:val="00241D70"/>
    <w:pPr>
      <w:ind w:left="851" w:hanging="851"/>
    </w:pPr>
  </w:style>
  <w:style w:type="character" w:customStyle="1" w:styleId="NTTDATALegal1Char">
    <w:name w:val="NTT DATA Legal_1 Char"/>
    <w:basedOn w:val="Absatz-Standardschriftart"/>
    <w:link w:val="NTTDATALegal1"/>
    <w:rsid w:val="00241D70"/>
    <w:rPr>
      <w:rFonts w:ascii="Arial" w:eastAsia="Times New Roman" w:hAnsi="Arial" w:cs="Arial"/>
      <w:color w:val="070F26" w:themeColor="background1"/>
      <w:kern w:val="20"/>
      <w:sz w:val="20"/>
      <w:szCs w:val="20"/>
      <w:lang w:val="en-GB"/>
      <w14:ligatures w14:val="none"/>
    </w:rPr>
  </w:style>
  <w:style w:type="paragraph" w:customStyle="1" w:styleId="NTTDATALegal2">
    <w:name w:val="NTT DATA Legal_2"/>
    <w:basedOn w:val="Legalnumbering2"/>
    <w:link w:val="NTTDATALegal2Char"/>
    <w:unhideWhenUsed/>
    <w:rsid w:val="00241D70"/>
    <w:pPr>
      <w:ind w:left="851" w:hanging="851"/>
    </w:pPr>
  </w:style>
  <w:style w:type="character" w:customStyle="1" w:styleId="NTTDATALegal2Char">
    <w:name w:val="NTT DATA Legal_2 Char"/>
    <w:basedOn w:val="Absatz-Standardschriftart"/>
    <w:link w:val="NTTDATALegal2"/>
    <w:rsid w:val="00241D70"/>
    <w:rPr>
      <w:rFonts w:ascii="Arial" w:eastAsia="Times New Roman" w:hAnsi="Arial" w:cs="Arial"/>
      <w:color w:val="070F26" w:themeColor="background1"/>
      <w:kern w:val="20"/>
      <w:sz w:val="20"/>
      <w:szCs w:val="20"/>
      <w:lang w:val="en-GB"/>
      <w14:ligatures w14:val="none"/>
    </w:rPr>
  </w:style>
  <w:style w:type="paragraph" w:customStyle="1" w:styleId="NTTDATALegal3">
    <w:name w:val="NTT DATA Legal_3"/>
    <w:basedOn w:val="Legalnumbering3"/>
    <w:link w:val="NTTDATALegal3Char"/>
    <w:unhideWhenUsed/>
    <w:rsid w:val="00241D70"/>
    <w:pPr>
      <w:ind w:left="851" w:hanging="851"/>
    </w:pPr>
  </w:style>
  <w:style w:type="character" w:customStyle="1" w:styleId="NTTDATALegal3Char">
    <w:name w:val="NTT DATA Legal_3 Char"/>
    <w:basedOn w:val="Absatz-Standardschriftart"/>
    <w:link w:val="NTTDATALegal3"/>
    <w:rsid w:val="00241D70"/>
    <w:rPr>
      <w:rFonts w:ascii="Arial" w:eastAsia="Times New Roman" w:hAnsi="Arial" w:cs="Arial"/>
      <w:color w:val="070F26" w:themeColor="background1"/>
      <w:kern w:val="20"/>
      <w:sz w:val="20"/>
      <w:szCs w:val="20"/>
      <w:lang w:val="en-GB"/>
      <w14:ligatures w14:val="none"/>
    </w:rPr>
  </w:style>
  <w:style w:type="paragraph" w:customStyle="1" w:styleId="NTTDATALegal4">
    <w:name w:val="NTT DATA Legal_4"/>
    <w:basedOn w:val="Standard"/>
    <w:link w:val="NTTDATALegal4Char"/>
    <w:unhideWhenUsed/>
    <w:rsid w:val="00E92B5A"/>
    <w:pPr>
      <w:tabs>
        <w:tab w:val="left" w:pos="1417"/>
      </w:tabs>
      <w:spacing w:before="160" w:after="160"/>
      <w:contextualSpacing/>
      <w:outlineLvl w:val="3"/>
    </w:pPr>
    <w:rPr>
      <w:rFonts w:cs="Arial"/>
      <w:color w:val="FFFFFF" w:themeColor="text1"/>
      <w:kern w:val="20"/>
      <w:szCs w:val="22"/>
      <w:lang w:val="en-GB"/>
      <w14:ligatures w14:val="none"/>
    </w:rPr>
  </w:style>
  <w:style w:type="character" w:customStyle="1" w:styleId="NTTDATALegal4Char">
    <w:name w:val="NTT DATA Legal_4 Char"/>
    <w:basedOn w:val="Absatz-Standardschriftart"/>
    <w:link w:val="NTTDATALegal4"/>
    <w:rsid w:val="00E92B5A"/>
    <w:rPr>
      <w:rFonts w:ascii="Arial" w:hAnsi="Arial" w:cs="Arial"/>
      <w:color w:val="FFFFFF" w:themeColor="text1"/>
      <w:kern w:val="20"/>
      <w:sz w:val="20"/>
      <w:szCs w:val="22"/>
      <w:lang w:val="en-GB"/>
      <w14:ligatures w14:val="none"/>
    </w:rPr>
  </w:style>
  <w:style w:type="paragraph" w:customStyle="1" w:styleId="NTTDATALegal5">
    <w:name w:val="NTT DATA Legal_5"/>
    <w:basedOn w:val="Legalnumbering6"/>
    <w:link w:val="NTTDATALegal5Char"/>
    <w:unhideWhenUsed/>
    <w:rsid w:val="00E92B5A"/>
    <w:pPr>
      <w:ind w:left="1191"/>
    </w:pPr>
  </w:style>
  <w:style w:type="character" w:customStyle="1" w:styleId="NTTDATALegal5Char">
    <w:name w:val="NTT DATA Legal_5 Char"/>
    <w:basedOn w:val="Absatz-Standardschriftart"/>
    <w:link w:val="NTTDATALegal5"/>
    <w:rsid w:val="00E92B5A"/>
    <w:rPr>
      <w:rFonts w:ascii="Arial" w:eastAsia="Times New Roman" w:hAnsi="Arial" w:cs="Arial"/>
      <w:color w:val="070F26" w:themeColor="background1"/>
      <w:kern w:val="20"/>
      <w:sz w:val="20"/>
      <w:szCs w:val="20"/>
      <w:lang w:val="en-GB"/>
      <w14:ligatures w14:val="none"/>
    </w:rPr>
  </w:style>
  <w:style w:type="paragraph" w:customStyle="1" w:styleId="NTTDATALegal6">
    <w:name w:val="NTT DATA Legal_6"/>
    <w:basedOn w:val="NTTDATALegal5"/>
    <w:link w:val="NTTDATALegal6Char"/>
    <w:unhideWhenUsed/>
    <w:rsid w:val="00E92B5A"/>
    <w:pPr>
      <w:numPr>
        <w:ilvl w:val="0"/>
        <w:numId w:val="0"/>
      </w:numPr>
    </w:pPr>
  </w:style>
  <w:style w:type="character" w:customStyle="1" w:styleId="NTTDATALegal6Char">
    <w:name w:val="NTT DATA Legal_6 Char"/>
    <w:basedOn w:val="Absatz-Standardschriftart"/>
    <w:link w:val="NTTDATALegal6"/>
    <w:rsid w:val="00E92B5A"/>
    <w:rPr>
      <w:rFonts w:ascii="Arial" w:eastAsia="Times New Roman" w:hAnsi="Arial" w:cs="Arial"/>
      <w:color w:val="FFFFFF" w:themeColor="text1"/>
      <w:kern w:val="20"/>
      <w:sz w:val="20"/>
      <w:szCs w:val="20"/>
      <w:lang w:val="en-GB"/>
      <w14:ligatures w14:val="none"/>
    </w:rPr>
  </w:style>
  <w:style w:type="paragraph" w:customStyle="1" w:styleId="NTTDATAQuestion">
    <w:name w:val="NTT DATA Question"/>
    <w:basedOn w:val="Standard"/>
    <w:next w:val="Standard"/>
    <w:uiPriority w:val="59"/>
    <w:qFormat/>
    <w:rsid w:val="0005039A"/>
    <w:pPr>
      <w:spacing w:before="160" w:after="160"/>
      <w:ind w:left="851" w:hanging="851"/>
    </w:pPr>
    <w:rPr>
      <w:rFonts w:eastAsia="Times New Roman" w:cs="Arial"/>
      <w:color w:val="FFFFFF" w:themeColor="text1"/>
      <w:kern w:val="20"/>
      <w:szCs w:val="20"/>
      <w:lang w:val="en-GB"/>
      <w14:ligatures w14:val="none"/>
    </w:rPr>
  </w:style>
  <w:style w:type="paragraph" w:customStyle="1" w:styleId="NTTDATASmallPrint">
    <w:name w:val="NTT DATA Small Print"/>
    <w:basedOn w:val="NTTDATAFlushBodyText"/>
    <w:uiPriority w:val="79"/>
    <w:unhideWhenUsed/>
    <w:rsid w:val="00F42F0F"/>
    <w:rPr>
      <w:color w:val="070F26" w:themeColor="background1"/>
      <w:kern w:val="17"/>
      <w:sz w:val="17"/>
    </w:rPr>
  </w:style>
  <w:style w:type="paragraph" w:customStyle="1" w:styleId="NTTDATATableBodyText">
    <w:name w:val="NTT DATA Table Body Text"/>
    <w:uiPriority w:val="14"/>
    <w:rsid w:val="00F42F0F"/>
    <w:pPr>
      <w:spacing w:line="264" w:lineRule="auto"/>
    </w:pPr>
    <w:rPr>
      <w:rFonts w:ascii="Arial" w:eastAsia="Times New Roman" w:hAnsi="Arial" w:cs="Arial"/>
      <w:color w:val="070F26" w:themeColor="background1"/>
      <w:kern w:val="18"/>
      <w:sz w:val="20"/>
      <w:szCs w:val="18"/>
      <w:lang w:val="en-GB"/>
      <w14:ligatures w14:val="none"/>
    </w:rPr>
  </w:style>
  <w:style w:type="paragraph" w:customStyle="1" w:styleId="NTTDATAFlushHeading">
    <w:name w:val="NTT DATA Flush Heading"/>
    <w:next w:val="NTTDATAFlushBodyText"/>
    <w:uiPriority w:val="3"/>
    <w:rsid w:val="00973478"/>
    <w:pPr>
      <w:keepNext/>
      <w:keepLines/>
      <w:pageBreakBefore/>
      <w:spacing w:after="360" w:line="264" w:lineRule="auto"/>
      <w:outlineLvl w:val="0"/>
    </w:pPr>
    <w:rPr>
      <w:rFonts w:ascii="Georgia" w:eastAsia="MS PGothic" w:hAnsi="Georgia" w:cs="Arial"/>
      <w:bCs/>
      <w:color w:val="2E404D" w:themeColor="text2"/>
      <w:kern w:val="28"/>
      <w:sz w:val="40"/>
      <w:szCs w:val="28"/>
      <w:lang w:val="en-GB" w:eastAsia="ja-JP"/>
      <w14:ligatures w14:val="none"/>
    </w:rPr>
  </w:style>
  <w:style w:type="paragraph" w:customStyle="1" w:styleId="NTTDATAFlushSubHeading">
    <w:name w:val="NTT DATA Flush Sub Heading"/>
    <w:next w:val="NTTDATAFlushBodyText"/>
    <w:uiPriority w:val="3"/>
    <w:rsid w:val="00AB5773"/>
    <w:pPr>
      <w:keepNext/>
      <w:keepLines/>
      <w:spacing w:before="360" w:after="120" w:line="264" w:lineRule="auto"/>
      <w:outlineLvl w:val="1"/>
    </w:pPr>
    <w:rPr>
      <w:rFonts w:asciiTheme="majorHAnsi" w:eastAsia="MS PGothic" w:hAnsiTheme="majorHAnsi" w:cs="Arial"/>
      <w:b/>
      <w:color w:val="FFFFFF" w:themeColor="text1"/>
      <w:kern w:val="24"/>
      <w:sz w:val="28"/>
      <w:lang w:val="en-GB" w:eastAsia="ja-JP"/>
      <w14:ligatures w14:val="none"/>
    </w:rPr>
  </w:style>
  <w:style w:type="paragraph" w:customStyle="1" w:styleId="NTTDATAFlushSubSubHeading">
    <w:name w:val="NTT DATA Flush Sub Sub Heading"/>
    <w:basedOn w:val="NTTDATAFlushSubHeading"/>
    <w:next w:val="NTTDATAFlushBodyText"/>
    <w:link w:val="NTTDATAFlushSubSubHeadingChar"/>
    <w:rsid w:val="00627CC5"/>
    <w:pPr>
      <w:outlineLvl w:val="2"/>
    </w:pPr>
    <w:rPr>
      <w:b w:val="0"/>
      <w:szCs w:val="20"/>
    </w:rPr>
  </w:style>
  <w:style w:type="character" w:customStyle="1" w:styleId="NTTDATAFlushSubSubHeadingChar">
    <w:name w:val="NTT DATA Flush Sub Sub Heading Char"/>
    <w:basedOn w:val="Absatz-Standardschriftart"/>
    <w:link w:val="NTTDATAFlushSubSubHeading"/>
    <w:rsid w:val="00000290"/>
    <w:rPr>
      <w:rFonts w:asciiTheme="majorHAnsi" w:eastAsia="MS PGothic" w:hAnsiTheme="majorHAnsi" w:cs="Arial"/>
      <w:color w:val="FFFFFF" w:themeColor="text1"/>
      <w:kern w:val="24"/>
      <w:sz w:val="28"/>
      <w:szCs w:val="20"/>
      <w:lang w:val="en-GB" w:eastAsia="ja-JP"/>
      <w14:ligatures w14:val="none"/>
    </w:rPr>
  </w:style>
  <w:style w:type="paragraph" w:styleId="Inhaltsverzeichnisberschrift">
    <w:name w:val="TOC Heading"/>
    <w:basedOn w:val="Standard"/>
    <w:next w:val="Standard"/>
    <w:uiPriority w:val="39"/>
    <w:unhideWhenUsed/>
    <w:qFormat/>
    <w:rsid w:val="008923D1"/>
    <w:pPr>
      <w:spacing w:after="360"/>
    </w:pPr>
    <w:rPr>
      <w:rFonts w:ascii="Georgia" w:eastAsiaTheme="majorEastAsia" w:hAnsi="Georgia" w:cstheme="majorBidi"/>
      <w:color w:val="0072BC" w:themeColor="background2"/>
      <w:sz w:val="40"/>
      <w:szCs w:val="32"/>
    </w:rPr>
  </w:style>
  <w:style w:type="paragraph" w:customStyle="1" w:styleId="NTTDATABoldBullet">
    <w:name w:val="NTT DATA Bold Bullet"/>
    <w:basedOn w:val="NTTDATABullet1"/>
    <w:next w:val="Standard"/>
    <w:uiPriority w:val="9"/>
    <w:rsid w:val="00B52EA2"/>
    <w:pPr>
      <w:keepNext/>
      <w:keepLines/>
      <w:numPr>
        <w:ilvl w:val="2"/>
        <w:numId w:val="8"/>
      </w:numPr>
      <w:ind w:left="1135" w:hanging="284"/>
    </w:pPr>
    <w:rPr>
      <w:rFonts w:ascii="Arial Bold" w:hAnsi="Arial Bold"/>
      <w:b/>
    </w:rPr>
  </w:style>
  <w:style w:type="paragraph" w:customStyle="1" w:styleId="NTTDATAFlushBoldBullet">
    <w:name w:val="NTT DATA Flush Bold Bullet"/>
    <w:basedOn w:val="NTTDATABoldBullet"/>
    <w:next w:val="Standard"/>
    <w:uiPriority w:val="19"/>
    <w:rsid w:val="00C33FA2"/>
    <w:pPr>
      <w:numPr>
        <w:ilvl w:val="6"/>
      </w:numPr>
    </w:pPr>
  </w:style>
  <w:style w:type="paragraph" w:customStyle="1" w:styleId="NTTDATATableBold">
    <w:name w:val="NTT DATA Table Bold"/>
    <w:basedOn w:val="NTTDATATableBullet1"/>
    <w:next w:val="Standard"/>
    <w:uiPriority w:val="14"/>
    <w:rsid w:val="001D44F0"/>
    <w:pPr>
      <w:keepNext/>
      <w:keepLines/>
      <w:numPr>
        <w:numId w:val="0"/>
      </w:numPr>
    </w:pPr>
    <w:rPr>
      <w:rFonts w:ascii="Arial Bold" w:hAnsi="Arial Bold" w:cs="Tahoma"/>
      <w:b/>
      <w:szCs w:val="20"/>
    </w:rPr>
  </w:style>
  <w:style w:type="paragraph" w:customStyle="1" w:styleId="NTTDATATableWhiteHeader">
    <w:name w:val="NTT DATA Table White Header"/>
    <w:uiPriority w:val="15"/>
    <w:rsid w:val="00FD2F8C"/>
    <w:pPr>
      <w:spacing w:line="264" w:lineRule="auto"/>
    </w:pPr>
    <w:rPr>
      <w:rFonts w:ascii="Arial Bold" w:eastAsia="Times New Roman" w:hAnsi="Arial Bold" w:cs="Arial"/>
      <w:b/>
      <w:color w:val="FFFFFF"/>
      <w:kern w:val="18"/>
      <w:sz w:val="20"/>
      <w:szCs w:val="18"/>
      <w:lang w:val="en-GB"/>
      <w14:ligatures w14:val="none"/>
    </w:rPr>
  </w:style>
  <w:style w:type="paragraph" w:customStyle="1" w:styleId="NTTDATAtablepicture">
    <w:name w:val="NTT DATA table picture"/>
    <w:basedOn w:val="NTTDATAAPicture"/>
    <w:qFormat/>
    <w:rsid w:val="003D12EC"/>
  </w:style>
  <w:style w:type="paragraph" w:customStyle="1" w:styleId="NTTDATAtablebodyboldtext">
    <w:name w:val="NTT DATA table body bold text"/>
    <w:basedOn w:val="NTTDATATableBodyText"/>
    <w:qFormat/>
    <w:rsid w:val="00D31309"/>
    <w:rPr>
      <w:rFonts w:ascii="Arial Bold" w:hAnsi="Arial Bold"/>
      <w:b/>
    </w:rPr>
  </w:style>
  <w:style w:type="paragraph" w:customStyle="1" w:styleId="NTTDATAtablepicture0">
    <w:name w:val="NTT DATA table picture"/>
    <w:basedOn w:val="NTTDATAAPicture"/>
    <w:next w:val="NTTDATAtablepicture"/>
    <w:qFormat/>
    <w:rsid w:val="006313A9"/>
  </w:style>
  <w:style w:type="paragraph" w:customStyle="1" w:styleId="LOFHeading">
    <w:name w:val="LOF Heading"/>
    <w:next w:val="Verzeichnis2"/>
    <w:link w:val="LOFHeadingChar"/>
    <w:rsid w:val="00AE3C79"/>
    <w:pPr>
      <w:keepNext/>
      <w:keepLines/>
      <w:spacing w:before="240" w:after="120" w:line="264" w:lineRule="auto"/>
    </w:pPr>
    <w:rPr>
      <w:rFonts w:ascii="Georgia" w:hAnsi="Georgia"/>
      <w:bCs/>
      <w:kern w:val="36"/>
      <w:sz w:val="68"/>
      <w:szCs w:val="68"/>
      <w:lang w:val="en-US"/>
    </w:rPr>
  </w:style>
  <w:style w:type="table" w:styleId="EinfacheTabelle1">
    <w:name w:val="Plain Table 1"/>
    <w:basedOn w:val="NormaleTabelle"/>
    <w:uiPriority w:val="41"/>
    <w:rsid w:val="00AE3C7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rPr>
    </w:tblStylePr>
    <w:tblStylePr w:type="lastRow">
      <w:rPr>
        <w:b/>
        <w:bCs/>
      </w:rPr>
      <w:tblPr/>
      <w:tcPr>
        <w:tcBorders>
          <w:top w:val="double" w:sz="4" w:space="0" w:color="050B1C" w:themeColor="background1" w:themeShade="BF"/>
        </w:tcBorders>
      </w:tcPr>
    </w:tblStylePr>
    <w:tblStylePr w:type="firstCol">
      <w:rPr>
        <w:b/>
        <w:bCs/>
      </w:rPr>
    </w:tblStylePr>
    <w:tblStylePr w:type="lastCol">
      <w:rPr>
        <w:b/>
        <w:bCs/>
      </w:rPr>
    </w:tblStylePr>
    <w:tblStylePr w:type="band1Vert">
      <w:tblPr/>
      <w:tcPr>
        <w:shd w:val="clear" w:color="auto" w:fill="060E24" w:themeFill="background1" w:themeFillShade="F2"/>
      </w:tcPr>
    </w:tblStylePr>
    <w:tblStylePr w:type="band1Horz">
      <w:tblPr/>
      <w:tcPr>
        <w:shd w:val="clear" w:color="auto" w:fill="060E24" w:themeFill="background1" w:themeFillShade="F2"/>
      </w:tcPr>
    </w:tblStylePr>
  </w:style>
  <w:style w:type="character" w:customStyle="1" w:styleId="LOFHeadingChar">
    <w:name w:val="LOF Heading Char"/>
    <w:basedOn w:val="Absatz-Standardschriftart"/>
    <w:link w:val="LOFHeading"/>
    <w:rsid w:val="00AE3C79"/>
    <w:rPr>
      <w:rFonts w:ascii="Georgia" w:hAnsi="Georgia"/>
      <w:bCs/>
      <w:kern w:val="36"/>
      <w:sz w:val="68"/>
      <w:szCs w:val="68"/>
      <w:lang w:val="en-US"/>
    </w:rPr>
  </w:style>
  <w:style w:type="paragraph" w:customStyle="1" w:styleId="NTTDATAHistoryHeading">
    <w:name w:val="NTT DATA History Heading"/>
    <w:link w:val="NTTDATAHistoryHeadingChar"/>
    <w:rsid w:val="008923D1"/>
    <w:pPr>
      <w:keepNext/>
      <w:keepLines/>
      <w:spacing w:before="240" w:after="120" w:line="264" w:lineRule="auto"/>
    </w:pPr>
    <w:rPr>
      <w:rFonts w:asciiTheme="majorHAnsi" w:hAnsiTheme="majorHAnsi"/>
      <w:b/>
      <w:color w:val="2E404D" w:themeColor="text2"/>
      <w:kern w:val="18"/>
      <w:lang w:val="en-US"/>
    </w:rPr>
  </w:style>
  <w:style w:type="character" w:customStyle="1" w:styleId="NTTDATAHistoryHeadingChar">
    <w:name w:val="NTT DATA History Heading Char"/>
    <w:basedOn w:val="Absatz-Standardschriftart"/>
    <w:link w:val="NTTDATAHistoryHeading"/>
    <w:rsid w:val="008923D1"/>
    <w:rPr>
      <w:rFonts w:asciiTheme="majorHAnsi" w:hAnsiTheme="majorHAnsi"/>
      <w:b/>
      <w:color w:val="2E404D" w:themeColor="text2"/>
      <w:kern w:val="18"/>
      <w:lang w:val="en-US"/>
    </w:rPr>
  </w:style>
  <w:style w:type="table" w:styleId="Gitternetztabelle1hell">
    <w:name w:val="Grid Table 1 Light"/>
    <w:aliases w:val="NTT Table 1"/>
    <w:basedOn w:val="NormaleTabelle"/>
    <w:uiPriority w:val="46"/>
    <w:rsid w:val="00AE3C7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rFonts w:ascii="Arial" w:hAnsi="Arial"/>
        <w:b/>
        <w:bCs/>
        <w:color w:val="070F26" w:themeColor="background1"/>
        <w:sz w:val="20"/>
      </w:rPr>
      <w:tblPr/>
      <w:tcPr>
        <w:tcBorders>
          <w:top w:val="single" w:sz="4" w:space="0" w:color="949494" w:themeColor="accent6"/>
          <w:bottom w:val="nil"/>
        </w:tcBorders>
        <w:shd w:val="clear" w:color="auto" w:fill="00DFED" w:themeFill="accent2"/>
      </w:tcPr>
    </w:tblStylePr>
    <w:tblStylePr w:type="lastRow">
      <w:rPr>
        <w:b/>
        <w:bCs/>
      </w:rPr>
      <w:tblPr/>
      <w:tcPr>
        <w:tcBorders>
          <w:top w:val="nil"/>
        </w:tcBorders>
      </w:tcPr>
    </w:tblStylePr>
    <w:tblStylePr w:type="firstCol">
      <w:rPr>
        <w:b/>
        <w:bCs/>
      </w:rPr>
    </w:tblStylePr>
    <w:tblStylePr w:type="lastCol">
      <w:rPr>
        <w:b/>
        <w:bCs/>
      </w:rPr>
    </w:tblStylePr>
  </w:style>
  <w:style w:type="table" w:styleId="Gitternetztabelle1hellAkzent1">
    <w:name w:val="Grid Table 1 Light Accent 1"/>
    <w:basedOn w:val="Gitternetztabelle1hell"/>
    <w:uiPriority w:val="46"/>
    <w:rsid w:val="00AE3C79"/>
    <w:tblPr>
      <w:tblBorders>
        <w:top w:val="none" w:sz="0" w:space="0" w:color="auto"/>
        <w:bottom w:val="none" w:sz="0" w:space="0" w:color="auto"/>
        <w:insideH w:val="none" w:sz="0" w:space="0" w:color="auto"/>
        <w:insideV w:val="none" w:sz="0" w:space="0" w:color="auto"/>
      </w:tblBorders>
    </w:tblPr>
    <w:tblStylePr w:type="firstRow">
      <w:rPr>
        <w:rFonts w:ascii="Arial" w:hAnsi="Arial"/>
        <w:b/>
        <w:bCs/>
        <w:color w:val="070F26" w:themeColor="background1"/>
        <w:sz w:val="20"/>
      </w:rPr>
      <w:tblPr/>
      <w:tcPr>
        <w:tcBorders>
          <w:top w:val="single" w:sz="4" w:space="0" w:color="949494" w:themeColor="accent6"/>
          <w:bottom w:val="nil"/>
        </w:tcBorders>
        <w:shd w:val="clear" w:color="auto" w:fill="00DFED" w:themeFill="accent2"/>
      </w:tcPr>
    </w:tblStylePr>
    <w:tblStylePr w:type="lastRow">
      <w:rPr>
        <w:b/>
        <w:bCs/>
      </w:rPr>
      <w:tblPr/>
      <w:tcPr>
        <w:tcBorders>
          <w:top w:val="nil"/>
        </w:tcBorders>
      </w:tcPr>
    </w:tblStylePr>
    <w:tblStylePr w:type="firstCol">
      <w:rPr>
        <w:b/>
        <w:bCs/>
      </w:rPr>
    </w:tblStylePr>
    <w:tblStylePr w:type="lastCol">
      <w:rPr>
        <w:b/>
        <w:bCs/>
      </w:rPr>
    </w:tblStylePr>
  </w:style>
  <w:style w:type="table" w:styleId="Gitternetztabelle1hell-Akzent2">
    <w:name w:val="Grid Table 1 Light Accent 2"/>
    <w:basedOn w:val="TabelleRaster1"/>
    <w:uiPriority w:val="46"/>
    <w:rsid w:val="00AE3C79"/>
    <w:rPr>
      <w:kern w:val="0"/>
      <w:sz w:val="20"/>
      <w:szCs w:val="20"/>
      <w:lang w:val="en-US" w:eastAsia="en-GB"/>
      <w14:ligatures w14:val="none"/>
    </w:rPr>
    <w:tblPr>
      <w:tblStyleRowBandSize w:val="1"/>
      <w:tblStyleColBandSize w:val="1"/>
      <w:tblBorders>
        <w:top w:val="single" w:sz="4" w:space="0" w:color="949494" w:themeColor="accent6"/>
        <w:left w:val="single" w:sz="4" w:space="0" w:color="949494" w:themeColor="accent6"/>
        <w:bottom w:val="single" w:sz="4" w:space="0" w:color="949494" w:themeColor="accent6"/>
        <w:right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cPr>
      <w:shd w:val="clear" w:color="auto" w:fill="auto"/>
    </w:tcPr>
    <w:tblStylePr w:type="firstRow">
      <w:rPr>
        <w:b/>
        <w:bCs/>
      </w:rPr>
      <w:tblPr/>
      <w:tcPr>
        <w:tcBorders>
          <w:bottom w:val="single" w:sz="12" w:space="0" w:color="5BF4FF" w:themeColor="accent2" w:themeTint="99"/>
        </w:tcBorders>
      </w:tcPr>
    </w:tblStylePr>
    <w:tblStylePr w:type="lastRow">
      <w:rPr>
        <w:b/>
        <w:bCs/>
        <w:i/>
        <w:iCs/>
      </w:rPr>
      <w:tblPr/>
      <w:tcPr>
        <w:tcBorders>
          <w:top w:val="double" w:sz="2" w:space="0" w:color="5BF4FF" w:themeColor="accent2" w:themeTint="99"/>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style>
  <w:style w:type="table" w:styleId="Gitternetztabelle1hellAkzent3">
    <w:name w:val="Grid Table 1 Light Accent 3"/>
    <w:basedOn w:val="NormaleTabelle"/>
    <w:uiPriority w:val="46"/>
    <w:rsid w:val="00AE3C79"/>
    <w:rPr>
      <w:sz w:val="20"/>
    </w:rPr>
    <w:tblPr>
      <w:tblStyleRowBandSize w:val="1"/>
      <w:tblStyleColBandSize w:val="1"/>
      <w:tblBorders>
        <w:top w:val="single" w:sz="4" w:space="0" w:color="84FFBB" w:themeColor="accent3" w:themeTint="66"/>
        <w:left w:val="single" w:sz="4" w:space="0" w:color="84FFBB" w:themeColor="accent3" w:themeTint="66"/>
        <w:bottom w:val="single" w:sz="4" w:space="0" w:color="84FFBB" w:themeColor="accent3" w:themeTint="66"/>
        <w:right w:val="single" w:sz="4" w:space="0" w:color="84FFBB" w:themeColor="accent3" w:themeTint="66"/>
        <w:insideH w:val="single" w:sz="4" w:space="0" w:color="84FFBB" w:themeColor="accent3" w:themeTint="66"/>
        <w:insideV w:val="single" w:sz="4" w:space="0" w:color="84FFBB" w:themeColor="accent3" w:themeTint="66"/>
      </w:tblBorders>
      <w:tblCellMar>
        <w:top w:w="85" w:type="dxa"/>
        <w:left w:w="85" w:type="dxa"/>
        <w:bottom w:w="85" w:type="dxa"/>
        <w:right w:w="85" w:type="dxa"/>
      </w:tblCellMar>
    </w:tblPr>
    <w:tblStylePr w:type="firstRow">
      <w:rPr>
        <w:b/>
        <w:bCs/>
      </w:rPr>
      <w:tblPr/>
      <w:tcPr>
        <w:tcBorders>
          <w:bottom w:val="single" w:sz="12" w:space="0" w:color="46FF9A" w:themeColor="accent3" w:themeTint="99"/>
        </w:tcBorders>
      </w:tcPr>
    </w:tblStylePr>
    <w:tblStylePr w:type="lastRow">
      <w:rPr>
        <w:b/>
        <w:bCs/>
      </w:rPr>
      <w:tblPr/>
      <w:tcPr>
        <w:tcBorders>
          <w:top w:val="double" w:sz="2" w:space="0" w:color="46FF9A" w:themeColor="accent3"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AE3C79"/>
    <w:rPr>
      <w:sz w:val="20"/>
    </w:rPr>
    <w:tblPr>
      <w:tblStyleRowBandSize w:val="1"/>
      <w:tblStyleColBandSize w:val="1"/>
      <w:tblBorders>
        <w:top w:val="single" w:sz="4" w:space="0" w:color="FFC999" w:themeColor="accent5" w:themeTint="66"/>
        <w:left w:val="single" w:sz="4" w:space="0" w:color="FFC999" w:themeColor="accent5" w:themeTint="66"/>
        <w:bottom w:val="single" w:sz="4" w:space="0" w:color="FFC999" w:themeColor="accent5" w:themeTint="66"/>
        <w:right w:val="single" w:sz="4" w:space="0" w:color="FFC999" w:themeColor="accent5" w:themeTint="66"/>
        <w:insideH w:val="single" w:sz="4" w:space="0" w:color="FFC999" w:themeColor="accent5" w:themeTint="66"/>
        <w:insideV w:val="single" w:sz="4" w:space="0" w:color="FFC999" w:themeColor="accent5" w:themeTint="66"/>
      </w:tblBorders>
      <w:tblCellMar>
        <w:top w:w="85" w:type="dxa"/>
        <w:left w:w="85" w:type="dxa"/>
        <w:bottom w:w="85" w:type="dxa"/>
        <w:right w:w="85" w:type="dxa"/>
      </w:tblCellMar>
    </w:tblPr>
    <w:tblStylePr w:type="firstRow">
      <w:rPr>
        <w:b/>
        <w:bCs/>
      </w:rPr>
      <w:tblPr/>
      <w:tcPr>
        <w:tcBorders>
          <w:bottom w:val="single" w:sz="12" w:space="0" w:color="FFAF66" w:themeColor="accent5" w:themeTint="99"/>
        </w:tcBorders>
      </w:tcPr>
    </w:tblStylePr>
    <w:tblStylePr w:type="lastRow">
      <w:rPr>
        <w:b/>
        <w:bCs/>
      </w:rPr>
      <w:tblPr/>
      <w:tcPr>
        <w:tcBorders>
          <w:top w:val="double" w:sz="2" w:space="0" w:color="FFAF66" w:themeColor="accent5"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AE3C79"/>
    <w:rPr>
      <w:sz w:val="20"/>
    </w:rPr>
    <w:tblPr>
      <w:tblStyleRowBandSize w:val="1"/>
      <w:tblStyleColBandSize w:val="1"/>
      <w:tblBorders>
        <w:top w:val="single" w:sz="4" w:space="0" w:color="FFE799" w:themeColor="accent4" w:themeTint="66"/>
        <w:left w:val="single" w:sz="4" w:space="0" w:color="FFE799" w:themeColor="accent4" w:themeTint="66"/>
        <w:bottom w:val="single" w:sz="4" w:space="0" w:color="FFE799" w:themeColor="accent4" w:themeTint="66"/>
        <w:right w:val="single" w:sz="4" w:space="0" w:color="FFE799" w:themeColor="accent4" w:themeTint="66"/>
        <w:insideH w:val="single" w:sz="4" w:space="0" w:color="FFE799" w:themeColor="accent4" w:themeTint="66"/>
        <w:insideV w:val="single" w:sz="4" w:space="0" w:color="FFE799" w:themeColor="accent4" w:themeTint="66"/>
      </w:tblBorders>
      <w:tblCellMar>
        <w:top w:w="85" w:type="dxa"/>
        <w:left w:w="85" w:type="dxa"/>
        <w:bottom w:w="85" w:type="dxa"/>
        <w:right w:w="85" w:type="dxa"/>
      </w:tblCellMar>
    </w:tblPr>
    <w:tblStylePr w:type="firstRow">
      <w:rPr>
        <w:b/>
        <w:bCs/>
      </w:rPr>
      <w:tblPr/>
      <w:tcPr>
        <w:tcBorders>
          <w:bottom w:val="single" w:sz="12" w:space="0" w:color="FFDB66" w:themeColor="accent4" w:themeTint="99"/>
        </w:tcBorders>
      </w:tcPr>
    </w:tblStylePr>
    <w:tblStylePr w:type="lastRow">
      <w:rPr>
        <w:b/>
        <w:bCs/>
      </w:rPr>
      <w:tblPr/>
      <w:tcPr>
        <w:tcBorders>
          <w:top w:val="double" w:sz="2" w:space="0" w:color="FFDB66" w:themeColor="accent4"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AE3C79"/>
    <w:rPr>
      <w:sz w:val="20"/>
    </w:rPr>
    <w:tblPr>
      <w:tblStyleRowBandSize w:val="1"/>
      <w:tblStyleColBandSize w:val="1"/>
      <w:tblBorders>
        <w:top w:val="single" w:sz="4" w:space="0" w:color="D4D4D4" w:themeColor="accent6" w:themeTint="66"/>
        <w:left w:val="single" w:sz="4" w:space="0" w:color="D4D4D4" w:themeColor="accent6" w:themeTint="66"/>
        <w:bottom w:val="single" w:sz="4" w:space="0" w:color="D4D4D4" w:themeColor="accent6" w:themeTint="66"/>
        <w:right w:val="single" w:sz="4" w:space="0" w:color="D4D4D4" w:themeColor="accent6" w:themeTint="66"/>
        <w:insideH w:val="single" w:sz="4" w:space="0" w:color="D4D4D4" w:themeColor="accent6" w:themeTint="66"/>
        <w:insideV w:val="single" w:sz="4" w:space="0" w:color="D4D4D4" w:themeColor="accent6" w:themeTint="66"/>
      </w:tblBorders>
      <w:tblCellMar>
        <w:top w:w="85" w:type="dxa"/>
        <w:left w:w="85" w:type="dxa"/>
        <w:bottom w:w="85" w:type="dxa"/>
        <w:right w:w="85" w:type="dxa"/>
      </w:tblCellMar>
    </w:tblPr>
    <w:tblStylePr w:type="firstRow">
      <w:rPr>
        <w:b/>
        <w:bCs/>
      </w:rPr>
      <w:tblPr/>
      <w:tcPr>
        <w:tcBorders>
          <w:bottom w:val="single" w:sz="12" w:space="0" w:color="BEBEBE" w:themeColor="accent6" w:themeTint="99"/>
        </w:tcBorders>
      </w:tcPr>
    </w:tblStylePr>
    <w:tblStylePr w:type="lastRow">
      <w:rPr>
        <w:b/>
        <w:bCs/>
      </w:rPr>
      <w:tblPr/>
      <w:tcPr>
        <w:tcBorders>
          <w:top w:val="double" w:sz="2" w:space="0" w:color="BEBEBE"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AE3C79"/>
    <w:rPr>
      <w:color w:val="FFFFFF" w:themeColor="text1"/>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rFonts w:ascii="Arial" w:hAnsi="Arial"/>
        <w:b/>
        <w:bCs/>
        <w:color w:val="070F26" w:themeColor="background1"/>
        <w:sz w:val="20"/>
      </w:rPr>
      <w:tblPr/>
      <w:tcPr>
        <w:shd w:val="clear" w:color="auto" w:fill="00DFED" w:themeFill="accent2"/>
      </w:tcPr>
    </w:tblStylePr>
    <w:tblStylePr w:type="lastRow">
      <w:rPr>
        <w:b/>
        <w:bCs/>
      </w:rPr>
      <w:tblPr/>
      <w:tcPr>
        <w:tcBorders>
          <w:top w:val="nil"/>
          <w:bottom w:val="single" w:sz="4" w:space="0" w:color="949494" w:themeColor="accent6"/>
          <w:insideH w:val="nil"/>
          <w:insideV w:val="single" w:sz="4" w:space="0" w:color="949494" w:themeColor="accent6"/>
        </w:tcBorders>
        <w:shd w:val="clear" w:color="auto" w:fill="070F26" w:themeFill="background1"/>
      </w:tcPr>
    </w:tblStylePr>
    <w:tblStylePr w:type="firstCol">
      <w:rPr>
        <w:b/>
        <w:bCs/>
      </w:rPr>
    </w:tblStylePr>
    <w:tblStylePr w:type="lastCol">
      <w:rPr>
        <w:b/>
        <w:bCs/>
      </w:rPr>
    </w:tblStylePr>
    <w:tblStylePr w:type="band1Vert">
      <w:rPr>
        <w:color w:val="FFFFFF" w:themeColor="text1"/>
      </w:rPr>
    </w:tblStylePr>
  </w:style>
  <w:style w:type="table" w:styleId="Gitternetztabelle4">
    <w:name w:val="Grid Table 4"/>
    <w:basedOn w:val="NormaleTabelle"/>
    <w:uiPriority w:val="49"/>
    <w:rsid w:val="00AE3C79"/>
    <w:rPr>
      <w:color w:val="FFFFFF" w:themeColor="text1"/>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color w:val="070F26" w:themeColor="background1"/>
      </w:rPr>
      <w:tblPr/>
      <w:tcPr>
        <w:tcBorders>
          <w:top w:val="single" w:sz="4" w:space="0" w:color="FFFFFF" w:themeColor="text1"/>
          <w:left w:val="single" w:sz="4" w:space="0" w:color="FFFFFF" w:themeColor="text1"/>
          <w:bottom w:val="single" w:sz="4" w:space="0" w:color="FFFFFF" w:themeColor="text1"/>
          <w:right w:val="single" w:sz="4" w:space="0" w:color="FFFFFF" w:themeColor="text1"/>
          <w:insideH w:val="nil"/>
          <w:insideV w:val="nil"/>
        </w:tcBorders>
        <w:shd w:val="clear" w:color="auto" w:fill="FFFFFF" w:themeFill="text1"/>
      </w:tcPr>
    </w:tblStylePr>
    <w:tblStylePr w:type="lastRow">
      <w:rPr>
        <w:b/>
        <w:bCs/>
      </w:rPr>
      <w:tblPr/>
      <w:tcPr>
        <w:tcBorders>
          <w:top w:val="double" w:sz="4" w:space="0" w:color="FFFFFF" w:themeColor="text1"/>
        </w:tcBorders>
      </w:tcPr>
    </w:tblStylePr>
    <w:tblStylePr w:type="firstCol">
      <w:rPr>
        <w:b/>
        <w:bCs/>
      </w:rPr>
    </w:tblStylePr>
    <w:tblStylePr w:type="lastCol">
      <w:rPr>
        <w:b/>
        <w:bCs/>
      </w:rPr>
    </w:tblStylePr>
    <w:tblStylePr w:type="band1Vert">
      <w:tblPr/>
      <w:tcPr>
        <w:shd w:val="clear" w:color="auto" w:fill="FFFFFF" w:themeFill="text1" w:themeFillTint="33"/>
      </w:tcPr>
    </w:tblStylePr>
    <w:tblStylePr w:type="band1Horz">
      <w:tblPr/>
      <w:tcPr>
        <w:shd w:val="clear" w:color="auto" w:fill="FFFFFF" w:themeFill="text1" w:themeFillTint="33"/>
      </w:tcPr>
    </w:tblStylePr>
  </w:style>
  <w:style w:type="table" w:styleId="TabelleRaster1">
    <w:name w:val="Table Grid 1"/>
    <w:basedOn w:val="NormaleTabelle"/>
    <w:uiPriority w:val="99"/>
    <w:semiHidden/>
    <w:unhideWhenUsed/>
    <w:rsid w:val="00AE3C7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itternetztabelle2Akzent1">
    <w:name w:val="Grid Table 2 Accent 1"/>
    <w:basedOn w:val="NormaleTabelle"/>
    <w:uiPriority w:val="47"/>
    <w:rsid w:val="00AE3C7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rPr>
      <w:tblPr/>
      <w:tcPr>
        <w:tcBorders>
          <w:top w:val="nil"/>
          <w:bottom w:val="single" w:sz="12" w:space="0" w:color="74C7FD" w:themeColor="accent1" w:themeTint="99"/>
          <w:insideH w:val="nil"/>
          <w:insideV w:val="nil"/>
        </w:tcBorders>
        <w:shd w:val="clear" w:color="auto" w:fill="070F26" w:themeFill="background1"/>
      </w:tcPr>
    </w:tblStylePr>
    <w:tblStylePr w:type="lastRow">
      <w:rPr>
        <w:b/>
        <w:bCs/>
      </w:rPr>
      <w:tblPr/>
      <w:tcPr>
        <w:tcBorders>
          <w:top w:val="double" w:sz="2" w:space="0" w:color="74C7FD" w:themeColor="accent1" w:themeTint="99"/>
          <w:bottom w:val="nil"/>
          <w:insideH w:val="nil"/>
          <w:insideV w:val="nil"/>
        </w:tcBorders>
        <w:shd w:val="clear" w:color="auto" w:fill="070F26" w:themeFill="background1"/>
      </w:tcPr>
    </w:tblStylePr>
    <w:tblStylePr w:type="firstCol">
      <w:rPr>
        <w:b/>
        <w:bCs/>
      </w:rPr>
    </w:tblStylePr>
    <w:tblStylePr w:type="lastCol">
      <w:rPr>
        <w:b/>
        <w:bCs/>
      </w:rPr>
    </w:tblStylePr>
    <w:tblStylePr w:type="band1Vert">
      <w:tblPr/>
      <w:tcPr>
        <w:shd w:val="clear" w:color="auto" w:fill="D0ECFE" w:themeFill="accent1" w:themeFillTint="33"/>
      </w:tcPr>
    </w:tblStylePr>
    <w:tblStylePr w:type="band1Horz">
      <w:tblPr/>
      <w:tcPr>
        <w:shd w:val="clear" w:color="auto" w:fill="D0ECFE" w:themeFill="accent1" w:themeFillTint="33"/>
      </w:tcPr>
    </w:tblStylePr>
  </w:style>
  <w:style w:type="table" w:styleId="Gitternetztabelle5dunkel">
    <w:name w:val="Grid Table 5 Dark"/>
    <w:basedOn w:val="NormaleTabelle"/>
    <w:uiPriority w:val="50"/>
    <w:rsid w:val="00AE3C79"/>
    <w:rPr>
      <w:sz w:val="20"/>
    </w:rPr>
    <w:tblPr>
      <w:tblStyleRowBandSize w:val="1"/>
      <w:tblStyleColBandSize w:val="1"/>
      <w:tblBorders>
        <w:top w:val="single" w:sz="4" w:space="0" w:color="070F26" w:themeColor="background1"/>
        <w:left w:val="single" w:sz="4" w:space="0" w:color="070F26" w:themeColor="background1"/>
        <w:bottom w:val="single" w:sz="4" w:space="0" w:color="070F26" w:themeColor="background1"/>
        <w:right w:val="single" w:sz="4" w:space="0" w:color="070F26" w:themeColor="background1"/>
        <w:insideH w:val="single" w:sz="4" w:space="0" w:color="070F26" w:themeColor="background1"/>
        <w:insideV w:val="single" w:sz="4" w:space="0" w:color="070F26" w:themeColor="background1"/>
      </w:tblBorders>
      <w:tblCellMar>
        <w:top w:w="85" w:type="dxa"/>
        <w:left w:w="85" w:type="dxa"/>
        <w:bottom w:w="85" w:type="dxa"/>
        <w:right w:w="85" w:type="dxa"/>
      </w:tblCellMar>
    </w:tblPr>
    <w:tcPr>
      <w:shd w:val="clear" w:color="auto" w:fill="FFFFFF" w:themeFill="text1" w:themeFillTint="33"/>
    </w:tcPr>
    <w:tblStylePr w:type="firstRow">
      <w:rPr>
        <w:b/>
        <w:bCs/>
        <w:color w:val="070F26" w:themeColor="background1"/>
      </w:rPr>
      <w:tblPr/>
      <w:tcPr>
        <w:tcBorders>
          <w:top w:val="single" w:sz="4" w:space="0" w:color="070F26" w:themeColor="background1"/>
          <w:left w:val="single" w:sz="4" w:space="0" w:color="070F26" w:themeColor="background1"/>
          <w:right w:val="single" w:sz="4" w:space="0" w:color="070F26" w:themeColor="background1"/>
          <w:insideH w:val="nil"/>
          <w:insideV w:val="nil"/>
        </w:tcBorders>
        <w:shd w:val="clear" w:color="auto" w:fill="FFFFFF" w:themeFill="text1"/>
      </w:tcPr>
    </w:tblStylePr>
    <w:tblStylePr w:type="lastRow">
      <w:rPr>
        <w:b/>
        <w:bCs/>
        <w:color w:val="070F26" w:themeColor="background1"/>
      </w:rPr>
      <w:tblPr/>
      <w:tcPr>
        <w:tcBorders>
          <w:left w:val="single" w:sz="4" w:space="0" w:color="070F26" w:themeColor="background1"/>
          <w:bottom w:val="single" w:sz="4" w:space="0" w:color="070F26" w:themeColor="background1"/>
          <w:right w:val="single" w:sz="4" w:space="0" w:color="070F26" w:themeColor="background1"/>
          <w:insideH w:val="nil"/>
          <w:insideV w:val="nil"/>
        </w:tcBorders>
        <w:shd w:val="clear" w:color="auto" w:fill="FFFFFF" w:themeFill="text1"/>
      </w:tcPr>
    </w:tblStylePr>
    <w:tblStylePr w:type="firstCol">
      <w:rPr>
        <w:b/>
        <w:bCs/>
        <w:color w:val="070F26" w:themeColor="background1"/>
      </w:rPr>
      <w:tblPr/>
      <w:tcPr>
        <w:tcBorders>
          <w:top w:val="single" w:sz="4" w:space="0" w:color="070F26" w:themeColor="background1"/>
          <w:left w:val="single" w:sz="4" w:space="0" w:color="070F26" w:themeColor="background1"/>
          <w:bottom w:val="single" w:sz="4" w:space="0" w:color="070F26" w:themeColor="background1"/>
          <w:insideV w:val="nil"/>
        </w:tcBorders>
        <w:shd w:val="clear" w:color="auto" w:fill="FFFFFF" w:themeFill="text1"/>
      </w:tcPr>
    </w:tblStylePr>
    <w:tblStylePr w:type="lastCol">
      <w:rPr>
        <w:b/>
        <w:bCs/>
        <w:color w:val="070F26" w:themeColor="background1"/>
      </w:rPr>
      <w:tblPr/>
      <w:tcPr>
        <w:tcBorders>
          <w:top w:val="single" w:sz="4" w:space="0" w:color="070F26" w:themeColor="background1"/>
          <w:bottom w:val="single" w:sz="4" w:space="0" w:color="070F26" w:themeColor="background1"/>
          <w:right w:val="single" w:sz="4" w:space="0" w:color="070F26" w:themeColor="background1"/>
          <w:insideV w:val="nil"/>
        </w:tcBorders>
        <w:shd w:val="clear" w:color="auto" w:fill="FFFFFF" w:themeFill="text1"/>
      </w:tcPr>
    </w:tblStylePr>
    <w:tblStylePr w:type="band1Vert">
      <w:tblPr/>
      <w:tcPr>
        <w:shd w:val="clear" w:color="auto" w:fill="FFFFFF" w:themeFill="text1" w:themeFillTint="66"/>
      </w:tcPr>
    </w:tblStylePr>
    <w:tblStylePr w:type="band1Horz">
      <w:tblPr/>
      <w:tcPr>
        <w:shd w:val="clear" w:color="auto" w:fill="FFFFFF" w:themeFill="text1" w:themeFillTint="66"/>
      </w:tcPr>
    </w:tblStylePr>
  </w:style>
  <w:style w:type="table" w:styleId="Gitternetztabelle6farbig">
    <w:name w:val="Grid Table 6 Colorful"/>
    <w:basedOn w:val="NormaleTabelle"/>
    <w:uiPriority w:val="51"/>
    <w:rsid w:val="00AE3C79"/>
    <w:rPr>
      <w:color w:val="FFFFFF" w:themeColor="text1"/>
      <w:sz w:val="20"/>
    </w:rPr>
    <w:tblPr>
      <w:tblStyleRowBandSize w:val="1"/>
      <w:tblStyleColBandSize w:val="1"/>
      <w:tblBorders>
        <w:top w:val="single" w:sz="4" w:space="0" w:color="FFFFFF" w:themeColor="text1" w:themeTint="99"/>
        <w:left w:val="single" w:sz="4" w:space="0" w:color="FFFFFF" w:themeColor="text1" w:themeTint="99"/>
        <w:bottom w:val="single" w:sz="4" w:space="0" w:color="FFFFFF" w:themeColor="text1" w:themeTint="99"/>
        <w:right w:val="single" w:sz="4" w:space="0" w:color="FFFFFF" w:themeColor="text1" w:themeTint="99"/>
        <w:insideH w:val="single" w:sz="4" w:space="0" w:color="FFFFFF" w:themeColor="text1" w:themeTint="99"/>
        <w:insideV w:val="single" w:sz="4" w:space="0" w:color="FFFFFF" w:themeColor="text1" w:themeTint="99"/>
      </w:tblBorders>
      <w:tblCellMar>
        <w:top w:w="85" w:type="dxa"/>
        <w:left w:w="85" w:type="dxa"/>
        <w:bottom w:w="85" w:type="dxa"/>
        <w:right w:w="85" w:type="dxa"/>
      </w:tblCellMar>
    </w:tblPr>
    <w:tblStylePr w:type="firstRow">
      <w:rPr>
        <w:b/>
        <w:bCs/>
      </w:rPr>
      <w:tblPr/>
      <w:tcPr>
        <w:tcBorders>
          <w:bottom w:val="single" w:sz="12" w:space="0" w:color="FFFFFF" w:themeColor="text1" w:themeTint="99"/>
        </w:tcBorders>
      </w:tcPr>
    </w:tblStylePr>
    <w:tblStylePr w:type="lastRow">
      <w:rPr>
        <w:b/>
        <w:bCs/>
      </w:rPr>
      <w:tblPr/>
      <w:tcPr>
        <w:tcBorders>
          <w:top w:val="double" w:sz="4" w:space="0" w:color="FFFFFF" w:themeColor="text1" w:themeTint="99"/>
        </w:tcBorders>
      </w:tcPr>
    </w:tblStylePr>
    <w:tblStylePr w:type="firstCol">
      <w:rPr>
        <w:b/>
        <w:bCs/>
      </w:rPr>
    </w:tblStylePr>
    <w:tblStylePr w:type="lastCol">
      <w:rPr>
        <w:b/>
        <w:bCs/>
      </w:rPr>
    </w:tblStylePr>
    <w:tblStylePr w:type="band1Vert">
      <w:tblPr/>
      <w:tcPr>
        <w:shd w:val="clear" w:color="auto" w:fill="FFFFFF" w:themeFill="text1" w:themeFillTint="33"/>
      </w:tcPr>
    </w:tblStylePr>
    <w:tblStylePr w:type="band1Horz">
      <w:tblPr/>
      <w:tcPr>
        <w:shd w:val="clear" w:color="auto" w:fill="FFFFFF" w:themeFill="text1" w:themeFillTint="33"/>
      </w:tcPr>
    </w:tblStylePr>
  </w:style>
  <w:style w:type="table" w:styleId="Gitternetztabelle7farbig">
    <w:name w:val="Grid Table 7 Colorful"/>
    <w:basedOn w:val="NormaleTabelle"/>
    <w:uiPriority w:val="52"/>
    <w:rsid w:val="00AE3C79"/>
    <w:rPr>
      <w:color w:val="FFFFFF" w:themeColor="text1"/>
      <w:sz w:val="20"/>
    </w:rPr>
    <w:tblPr>
      <w:tblStyleRowBandSize w:val="1"/>
      <w:tblStyleColBandSize w:val="1"/>
      <w:tblBorders>
        <w:top w:val="single" w:sz="4" w:space="0" w:color="949494" w:themeColor="accent6"/>
        <w:left w:val="single" w:sz="4" w:space="0" w:color="949494" w:themeColor="accent6"/>
        <w:bottom w:val="single" w:sz="4" w:space="0" w:color="949494" w:themeColor="accent6"/>
        <w:right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rPr>
      <w:tblPr/>
      <w:tcPr>
        <w:tcBorders>
          <w:top w:val="nil"/>
          <w:left w:val="nil"/>
          <w:right w:val="nil"/>
          <w:insideH w:val="nil"/>
          <w:insideV w:val="nil"/>
        </w:tcBorders>
        <w:shd w:val="clear" w:color="auto" w:fill="070F26" w:themeFill="background1"/>
      </w:tcPr>
    </w:tblStylePr>
    <w:tblStylePr w:type="lastRow">
      <w:rPr>
        <w:b/>
        <w:bCs/>
      </w:rPr>
      <w:tblPr/>
      <w:tcPr>
        <w:tcBorders>
          <w:left w:val="nil"/>
          <w:bottom w:val="nil"/>
          <w:right w:val="nil"/>
          <w:insideH w:val="nil"/>
          <w:insideV w:val="nil"/>
        </w:tcBorders>
        <w:shd w:val="clear" w:color="auto" w:fill="070F26" w:themeFill="background1"/>
      </w:tcPr>
    </w:tblStylePr>
    <w:tblStylePr w:type="firstCol">
      <w:pPr>
        <w:jc w:val="right"/>
      </w:pPr>
      <w:rPr>
        <w:i/>
        <w:iCs/>
      </w:rPr>
      <w:tblPr/>
      <w:tcPr>
        <w:tcBorders>
          <w:top w:val="nil"/>
          <w:left w:val="nil"/>
          <w:bottom w:val="nil"/>
          <w:insideH w:val="nil"/>
          <w:insideV w:val="nil"/>
        </w:tcBorders>
        <w:shd w:val="clear" w:color="auto" w:fill="070F26" w:themeFill="background1"/>
      </w:tcPr>
    </w:tblStylePr>
    <w:tblStylePr w:type="lastCol">
      <w:rPr>
        <w:i/>
        <w:iCs/>
      </w:rPr>
      <w:tblPr/>
      <w:tcPr>
        <w:tcBorders>
          <w:top w:val="nil"/>
          <w:bottom w:val="nil"/>
          <w:right w:val="nil"/>
          <w:insideH w:val="nil"/>
          <w:insideV w:val="nil"/>
        </w:tcBorders>
        <w:shd w:val="clear" w:color="auto" w:fill="070F26" w:themeFill="background1"/>
      </w:tcPr>
    </w:tblStylePr>
    <w:tblStylePr w:type="band1Vert">
      <w:tblPr/>
      <w:tcPr>
        <w:shd w:val="clear" w:color="auto" w:fill="FFFFFF" w:themeFill="text1" w:themeFillTint="33"/>
      </w:tcPr>
    </w:tblStylePr>
    <w:tblStylePr w:type="band1Horz">
      <w:tblPr/>
      <w:tcPr>
        <w:shd w:val="clear" w:color="auto" w:fill="FFFFFF" w:themeFill="text1" w:themeFillTint="33"/>
      </w:tcPr>
    </w:tblStylePr>
    <w:tblStylePr w:type="neCell">
      <w:tblPr/>
      <w:tcPr>
        <w:tcBorders>
          <w:bottom w:val="single" w:sz="4" w:space="0" w:color="FFFFFF" w:themeColor="text1" w:themeTint="99"/>
        </w:tcBorders>
      </w:tcPr>
    </w:tblStylePr>
    <w:tblStylePr w:type="nwCell">
      <w:tblPr/>
      <w:tcPr>
        <w:tcBorders>
          <w:bottom w:val="single" w:sz="4" w:space="0" w:color="FFFFFF" w:themeColor="text1" w:themeTint="99"/>
        </w:tcBorders>
      </w:tcPr>
    </w:tblStylePr>
    <w:tblStylePr w:type="seCell">
      <w:tblPr/>
      <w:tcPr>
        <w:tcBorders>
          <w:top w:val="single" w:sz="4" w:space="0" w:color="FFFFFF" w:themeColor="text1" w:themeTint="99"/>
        </w:tcBorders>
      </w:tcPr>
    </w:tblStylePr>
    <w:tblStylePr w:type="swCell">
      <w:tblPr/>
      <w:tcPr>
        <w:tcBorders>
          <w:top w:val="single" w:sz="4" w:space="0" w:color="FFFFFF" w:themeColor="text1" w:themeTint="99"/>
        </w:tcBorders>
      </w:tcPr>
    </w:tblStylePr>
  </w:style>
  <w:style w:type="table" w:styleId="Listentabelle1hell">
    <w:name w:val="List Table 1 Light"/>
    <w:basedOn w:val="NormaleTabelle"/>
    <w:uiPriority w:val="46"/>
    <w:rsid w:val="00AE3C7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rPr>
      <w:tblPr/>
      <w:tcPr>
        <w:tcBorders>
          <w:bottom w:val="single" w:sz="4" w:space="0" w:color="FFFFFF" w:themeColor="text1" w:themeTint="99"/>
        </w:tcBorders>
      </w:tcPr>
    </w:tblStylePr>
    <w:tblStylePr w:type="lastRow">
      <w:rPr>
        <w:b/>
        <w:bCs/>
      </w:rPr>
      <w:tblPr/>
      <w:tcPr>
        <w:tcBorders>
          <w:top w:val="single" w:sz="4" w:space="0" w:color="FFFFFF" w:themeColor="text1" w:themeTint="99"/>
        </w:tcBorders>
      </w:tcPr>
    </w:tblStylePr>
    <w:tblStylePr w:type="firstCol">
      <w:rPr>
        <w:b/>
        <w:bCs/>
      </w:rPr>
    </w:tblStylePr>
    <w:tblStylePr w:type="lastCol">
      <w:rPr>
        <w:b/>
        <w:bCs/>
      </w:rPr>
    </w:tblStylePr>
    <w:tblStylePr w:type="band1Vert">
      <w:tblPr/>
      <w:tcPr>
        <w:shd w:val="clear" w:color="auto" w:fill="FFFFFF" w:themeFill="text1" w:themeFillTint="33"/>
      </w:tcPr>
    </w:tblStylePr>
    <w:tblStylePr w:type="band1Horz">
      <w:tblPr/>
      <w:tcPr>
        <w:shd w:val="clear" w:color="auto" w:fill="FFFFFF" w:themeFill="text1" w:themeFillTint="33"/>
      </w:tcPr>
    </w:tblStylePr>
  </w:style>
  <w:style w:type="table" w:styleId="Listentabelle2">
    <w:name w:val="List Table 2"/>
    <w:basedOn w:val="NormaleTabelle"/>
    <w:uiPriority w:val="47"/>
    <w:rsid w:val="00AE3C7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text1" w:themeFillTint="33"/>
      </w:tcPr>
    </w:tblStylePr>
    <w:tblStylePr w:type="band1Horz">
      <w:tblPr/>
      <w:tcPr>
        <w:shd w:val="clear" w:color="auto" w:fill="FFFFFF" w:themeFill="text1" w:themeFillTint="33"/>
      </w:tcPr>
    </w:tblStylePr>
  </w:style>
  <w:style w:type="table" w:styleId="Listentabelle3">
    <w:name w:val="List Table 3"/>
    <w:basedOn w:val="NormaleTabelle"/>
    <w:uiPriority w:val="48"/>
    <w:rsid w:val="00AE3C7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color w:val="070F26" w:themeColor="background1"/>
      </w:rPr>
      <w:tblPr/>
      <w:tcPr>
        <w:shd w:val="clear" w:color="auto" w:fill="FFFFFF" w:themeFill="text1"/>
      </w:tcPr>
    </w:tblStylePr>
    <w:tblStylePr w:type="lastRow">
      <w:rPr>
        <w:b/>
        <w:bCs/>
      </w:rPr>
      <w:tblPr/>
      <w:tcPr>
        <w:tcBorders>
          <w:top w:val="double" w:sz="4" w:space="0" w:color="FFFFFF" w:themeColor="text1"/>
        </w:tcBorders>
        <w:shd w:val="clear" w:color="auto" w:fill="070F26" w:themeFill="background1"/>
      </w:tcPr>
    </w:tblStylePr>
    <w:tblStylePr w:type="firstCol">
      <w:rPr>
        <w:b/>
        <w:bCs/>
      </w:rPr>
      <w:tblPr/>
      <w:tcPr>
        <w:tcBorders>
          <w:right w:val="nil"/>
        </w:tcBorders>
        <w:shd w:val="clear" w:color="auto" w:fill="070F26" w:themeFill="background1"/>
      </w:tcPr>
    </w:tblStylePr>
    <w:tblStylePr w:type="lastCol">
      <w:rPr>
        <w:b/>
        <w:bCs/>
      </w:rPr>
      <w:tblPr/>
      <w:tcPr>
        <w:tcBorders>
          <w:left w:val="nil"/>
        </w:tcBorders>
        <w:shd w:val="clear" w:color="auto" w:fill="070F26" w:themeFill="background1"/>
      </w:tcPr>
    </w:tblStylePr>
    <w:tblStylePr w:type="band1Vert">
      <w:tblPr/>
      <w:tcPr>
        <w:tcBorders>
          <w:left w:val="single" w:sz="4" w:space="0" w:color="FFFFFF" w:themeColor="text1"/>
          <w:right w:val="single" w:sz="4" w:space="0" w:color="FFFFFF" w:themeColor="text1"/>
        </w:tcBorders>
      </w:tcPr>
    </w:tblStylePr>
    <w:tblStylePr w:type="band1Horz">
      <w:tblPr/>
      <w:tcPr>
        <w:tcBorders>
          <w:top w:val="single" w:sz="4" w:space="0" w:color="FFFFFF" w:themeColor="text1"/>
          <w:bottom w:val="single" w:sz="4" w:space="0" w:color="FFFFF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text1"/>
          <w:left w:val="nil"/>
        </w:tcBorders>
      </w:tcPr>
    </w:tblStylePr>
    <w:tblStylePr w:type="swCell">
      <w:tblPr/>
      <w:tcPr>
        <w:tcBorders>
          <w:top w:val="double" w:sz="4" w:space="0" w:color="FFFFFF" w:themeColor="text1"/>
          <w:right w:val="nil"/>
        </w:tcBorders>
      </w:tcPr>
    </w:tblStylePr>
  </w:style>
  <w:style w:type="table" w:styleId="Listentabelle4">
    <w:name w:val="List Table 4"/>
    <w:basedOn w:val="NormaleTabelle"/>
    <w:uiPriority w:val="49"/>
    <w:rsid w:val="00AE3C7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color w:val="070F26" w:themeColor="background1"/>
      </w:rPr>
      <w:tblPr/>
      <w:tcPr>
        <w:tcBorders>
          <w:top w:val="single" w:sz="4" w:space="0" w:color="FFFFFF" w:themeColor="text1"/>
          <w:left w:val="single" w:sz="4" w:space="0" w:color="FFFFFF" w:themeColor="text1"/>
          <w:bottom w:val="single" w:sz="4" w:space="0" w:color="FFFFFF" w:themeColor="text1"/>
          <w:right w:val="single" w:sz="4" w:space="0" w:color="FFFFFF" w:themeColor="text1"/>
          <w:insideH w:val="nil"/>
        </w:tcBorders>
        <w:shd w:val="clear" w:color="auto" w:fill="FFFFFF" w:themeFill="text1"/>
      </w:tcPr>
    </w:tblStylePr>
    <w:tblStylePr w:type="lastRow">
      <w:rPr>
        <w:b/>
        <w:bCs/>
      </w:rPr>
      <w:tblPr/>
      <w:tcPr>
        <w:tcBorders>
          <w:top w:val="double" w:sz="4" w:space="0" w:color="FFFFFF" w:themeColor="text1" w:themeTint="99"/>
        </w:tcBorders>
      </w:tcPr>
    </w:tblStylePr>
    <w:tblStylePr w:type="firstCol">
      <w:rPr>
        <w:b/>
        <w:bCs/>
      </w:rPr>
    </w:tblStylePr>
    <w:tblStylePr w:type="lastCol">
      <w:rPr>
        <w:b/>
        <w:bCs/>
      </w:rPr>
    </w:tblStylePr>
    <w:tblStylePr w:type="band1Vert">
      <w:tblPr/>
      <w:tcPr>
        <w:shd w:val="clear" w:color="auto" w:fill="FFFFFF" w:themeFill="text1" w:themeFillTint="33"/>
      </w:tcPr>
    </w:tblStylePr>
    <w:tblStylePr w:type="band1Horz">
      <w:tblPr/>
      <w:tcPr>
        <w:shd w:val="clear" w:color="auto" w:fill="FFFFFF" w:themeFill="text1" w:themeFillTint="33"/>
      </w:tcPr>
    </w:tblStylePr>
  </w:style>
  <w:style w:type="table" w:styleId="Listentabelle5dunkel">
    <w:name w:val="List Table 5 Dark"/>
    <w:basedOn w:val="NormaleTabelle"/>
    <w:uiPriority w:val="50"/>
    <w:rsid w:val="00AE3C79"/>
    <w:rPr>
      <w:color w:val="070F26" w:themeColor="background1"/>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cPr>
      <w:shd w:val="clear" w:color="auto" w:fill="FFFFFF" w:themeFill="text1"/>
    </w:tcPr>
    <w:tblStylePr w:type="firstRow">
      <w:rPr>
        <w:b/>
        <w:bCs/>
      </w:rPr>
      <w:tblPr/>
      <w:tcPr>
        <w:tcBorders>
          <w:bottom w:val="single" w:sz="18" w:space="0" w:color="070F26" w:themeColor="background1"/>
        </w:tcBorders>
      </w:tcPr>
    </w:tblStylePr>
    <w:tblStylePr w:type="lastRow">
      <w:rPr>
        <w:b/>
        <w:bCs/>
      </w:rPr>
      <w:tblPr/>
      <w:tcPr>
        <w:tcBorders>
          <w:top w:val="single" w:sz="4" w:space="0" w:color="070F26" w:themeColor="background1"/>
        </w:tcBorders>
      </w:tcPr>
    </w:tblStylePr>
    <w:tblStylePr w:type="firstCol">
      <w:rPr>
        <w:b/>
        <w:bCs/>
      </w:rPr>
      <w:tblPr/>
      <w:tcPr>
        <w:tcBorders>
          <w:right w:val="single" w:sz="4" w:space="0" w:color="070F26" w:themeColor="background1"/>
        </w:tcBorders>
      </w:tcPr>
    </w:tblStylePr>
    <w:tblStylePr w:type="lastCol">
      <w:rPr>
        <w:b/>
        <w:bCs/>
      </w:rPr>
      <w:tblPr/>
      <w:tcPr>
        <w:tcBorders>
          <w:left w:val="single" w:sz="4" w:space="0" w:color="070F26" w:themeColor="background1"/>
        </w:tcBorders>
      </w:tcPr>
    </w:tblStylePr>
    <w:tblStylePr w:type="band1Vert">
      <w:tblPr/>
      <w:tcPr>
        <w:tcBorders>
          <w:left w:val="single" w:sz="4" w:space="0" w:color="070F26" w:themeColor="background1"/>
          <w:right w:val="single" w:sz="4" w:space="0" w:color="070F26" w:themeColor="background1"/>
        </w:tcBorders>
      </w:tcPr>
    </w:tblStylePr>
    <w:tblStylePr w:type="band2Vert">
      <w:tblPr/>
      <w:tcPr>
        <w:tcBorders>
          <w:left w:val="single" w:sz="4" w:space="0" w:color="070F26" w:themeColor="background1"/>
          <w:right w:val="single" w:sz="4" w:space="0" w:color="070F26" w:themeColor="background1"/>
        </w:tcBorders>
      </w:tcPr>
    </w:tblStylePr>
    <w:tblStylePr w:type="band1Horz">
      <w:tblPr/>
      <w:tcPr>
        <w:tcBorders>
          <w:top w:val="single" w:sz="4" w:space="0" w:color="070F26" w:themeColor="background1"/>
          <w:bottom w:val="single" w:sz="4" w:space="0" w:color="070F26"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AE3C79"/>
    <w:rPr>
      <w:color w:val="FFFFFF" w:themeColor="text1"/>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rPr>
      <w:tblPr/>
      <w:tcPr>
        <w:tcBorders>
          <w:bottom w:val="single" w:sz="4" w:space="0" w:color="FFFFFF" w:themeColor="text1"/>
        </w:tcBorders>
      </w:tcPr>
    </w:tblStylePr>
    <w:tblStylePr w:type="lastRow">
      <w:rPr>
        <w:b/>
        <w:bCs/>
      </w:rPr>
      <w:tblPr/>
      <w:tcPr>
        <w:tcBorders>
          <w:top w:val="double" w:sz="4" w:space="0" w:color="FFFFFF" w:themeColor="text1"/>
        </w:tcBorders>
      </w:tcPr>
    </w:tblStylePr>
    <w:tblStylePr w:type="firstCol">
      <w:rPr>
        <w:b/>
        <w:bCs/>
      </w:rPr>
    </w:tblStylePr>
    <w:tblStylePr w:type="lastCol">
      <w:rPr>
        <w:b/>
        <w:bCs/>
      </w:rPr>
    </w:tblStylePr>
    <w:tblStylePr w:type="band1Vert">
      <w:tblPr/>
      <w:tcPr>
        <w:shd w:val="clear" w:color="auto" w:fill="FFFFFF" w:themeFill="text1" w:themeFillTint="33"/>
      </w:tcPr>
    </w:tblStylePr>
    <w:tblStylePr w:type="band1Horz">
      <w:tblPr/>
      <w:tcPr>
        <w:shd w:val="clear" w:color="auto" w:fill="FFFFFF" w:themeFill="text1" w:themeFillTint="33"/>
      </w:tcPr>
    </w:tblStylePr>
  </w:style>
  <w:style w:type="table" w:styleId="Listentabelle7farbig">
    <w:name w:val="List Table 7 Colorful"/>
    <w:basedOn w:val="NormaleTabelle"/>
    <w:uiPriority w:val="52"/>
    <w:rsid w:val="00AE3C79"/>
    <w:rPr>
      <w:color w:val="FFFFFF" w:themeColor="text1"/>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rFonts w:asciiTheme="majorHAnsi" w:eastAsiaTheme="majorEastAsia" w:hAnsiTheme="majorHAnsi" w:cstheme="majorBidi"/>
        <w:i/>
        <w:iCs/>
        <w:sz w:val="26"/>
      </w:rPr>
      <w:tblPr/>
      <w:tcPr>
        <w:tcBorders>
          <w:bottom w:val="single" w:sz="4" w:space="0" w:color="FFFFFF" w:themeColor="text1"/>
        </w:tcBorders>
        <w:shd w:val="clear" w:color="auto" w:fill="070F26" w:themeFill="background1"/>
      </w:tcPr>
    </w:tblStylePr>
    <w:tblStylePr w:type="lastRow">
      <w:rPr>
        <w:rFonts w:asciiTheme="majorHAnsi" w:eastAsiaTheme="majorEastAsia" w:hAnsiTheme="majorHAnsi" w:cstheme="majorBidi"/>
        <w:i/>
        <w:iCs/>
        <w:sz w:val="26"/>
      </w:rPr>
      <w:tblPr/>
      <w:tcPr>
        <w:tcBorders>
          <w:top w:val="single" w:sz="4" w:space="0" w:color="FFFFFF" w:themeColor="text1"/>
        </w:tcBorders>
        <w:shd w:val="clear" w:color="auto" w:fill="070F26"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text1"/>
        </w:tcBorders>
        <w:shd w:val="clear" w:color="auto" w:fill="070F26" w:themeFill="background1"/>
      </w:tcPr>
    </w:tblStylePr>
    <w:tblStylePr w:type="lastCol">
      <w:rPr>
        <w:rFonts w:asciiTheme="majorHAnsi" w:eastAsiaTheme="majorEastAsia" w:hAnsiTheme="majorHAnsi" w:cstheme="majorBidi"/>
        <w:i/>
        <w:iCs/>
        <w:sz w:val="26"/>
      </w:rPr>
      <w:tblPr/>
      <w:tcPr>
        <w:tcBorders>
          <w:left w:val="single" w:sz="4" w:space="0" w:color="FFFFFF" w:themeColor="text1"/>
        </w:tcBorders>
        <w:shd w:val="clear" w:color="auto" w:fill="070F26" w:themeFill="background1"/>
      </w:tcPr>
    </w:tblStylePr>
    <w:tblStylePr w:type="band1Vert">
      <w:tblPr/>
      <w:tcPr>
        <w:shd w:val="clear" w:color="auto" w:fill="FFFFFF" w:themeFill="text1" w:themeFillTint="33"/>
      </w:tcPr>
    </w:tblStylePr>
    <w:tblStylePr w:type="band1Horz">
      <w:tblPr/>
      <w:tcPr>
        <w:shd w:val="clear" w:color="auto" w:fill="FFFF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2">
    <w:name w:val="Plain Table 2"/>
    <w:basedOn w:val="NormaleTabelle"/>
    <w:uiPriority w:val="42"/>
    <w:rsid w:val="00AE3C7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rPr>
      <w:tblPr/>
      <w:tcPr>
        <w:tcBorders>
          <w:bottom w:val="single" w:sz="4" w:space="0" w:color="FFFFFF" w:themeColor="text1" w:themeTint="80"/>
        </w:tcBorders>
      </w:tcPr>
    </w:tblStylePr>
    <w:tblStylePr w:type="lastRow">
      <w:rPr>
        <w:b/>
        <w:bCs/>
      </w:rPr>
      <w:tblPr/>
      <w:tcPr>
        <w:tcBorders>
          <w:top w:val="single" w:sz="4" w:space="0" w:color="FFFFFF" w:themeColor="text1" w:themeTint="80"/>
        </w:tcBorders>
      </w:tcPr>
    </w:tblStylePr>
    <w:tblStylePr w:type="firstCol">
      <w:rPr>
        <w:b/>
        <w:bCs/>
      </w:rPr>
    </w:tblStylePr>
    <w:tblStylePr w:type="lastCol">
      <w:rPr>
        <w:b/>
        <w:bCs/>
      </w:rPr>
    </w:tblStylePr>
    <w:tblStylePr w:type="band1Vert">
      <w:tblPr/>
      <w:tcPr>
        <w:tcBorders>
          <w:left w:val="single" w:sz="4" w:space="0" w:color="FFFFFF" w:themeColor="text1" w:themeTint="80"/>
          <w:right w:val="single" w:sz="4" w:space="0" w:color="FFFFFF" w:themeColor="text1" w:themeTint="80"/>
        </w:tcBorders>
      </w:tcPr>
    </w:tblStylePr>
    <w:tblStylePr w:type="band2Vert">
      <w:tblPr/>
      <w:tcPr>
        <w:tcBorders>
          <w:left w:val="single" w:sz="4" w:space="0" w:color="FFFFFF" w:themeColor="text1" w:themeTint="80"/>
          <w:right w:val="single" w:sz="4" w:space="0" w:color="FFFFFF" w:themeColor="text1" w:themeTint="80"/>
        </w:tcBorders>
      </w:tcPr>
    </w:tblStylePr>
    <w:tblStylePr w:type="band1Horz">
      <w:tblPr/>
      <w:tcPr>
        <w:tcBorders>
          <w:top w:val="single" w:sz="4" w:space="0" w:color="FFFFFF" w:themeColor="text1" w:themeTint="80"/>
          <w:bottom w:val="single" w:sz="4" w:space="0" w:color="FFFFFF" w:themeColor="text1" w:themeTint="80"/>
        </w:tcBorders>
      </w:tcPr>
    </w:tblStylePr>
  </w:style>
  <w:style w:type="table" w:styleId="EinfacheTabelle3">
    <w:name w:val="Plain Table 3"/>
    <w:basedOn w:val="NormaleTabelle"/>
    <w:uiPriority w:val="43"/>
    <w:rsid w:val="00AE3C7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060E24" w:themeFill="background1" w:themeFillShade="F2"/>
      </w:tcPr>
    </w:tblStylePr>
    <w:tblStylePr w:type="band1Horz">
      <w:tblPr/>
      <w:tcPr>
        <w:shd w:val="clear" w:color="auto" w:fill="060E24"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AE3C7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60E24" w:themeFill="background1" w:themeFillShade="F2"/>
      </w:tcPr>
    </w:tblStylePr>
    <w:tblStylePr w:type="band1Horz">
      <w:tblPr/>
      <w:tcPr>
        <w:shd w:val="clear" w:color="auto" w:fill="060E24" w:themeFill="background1" w:themeFillShade="F2"/>
      </w:tcPr>
    </w:tblStylePr>
  </w:style>
  <w:style w:type="table" w:styleId="EinfacheTabelle5">
    <w:name w:val="Plain Table 5"/>
    <w:basedOn w:val="NormaleTabelle"/>
    <w:uiPriority w:val="45"/>
    <w:rsid w:val="00AE3C79"/>
    <w:rPr>
      <w:sz w:val="20"/>
    </w:rPr>
    <w:tblPr>
      <w:tblStyleRowBandSize w:val="1"/>
      <w:tblStyleColBandSize w:val="1"/>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tblStylePr w:type="firstRow">
      <w:rPr>
        <w:rFonts w:asciiTheme="majorHAnsi" w:eastAsiaTheme="majorEastAsia" w:hAnsiTheme="majorHAnsi" w:cstheme="majorBidi"/>
        <w:i/>
        <w:iCs/>
        <w:sz w:val="26"/>
      </w:rPr>
      <w:tblPr/>
      <w:tcPr>
        <w:tcBorders>
          <w:bottom w:val="single" w:sz="4" w:space="0" w:color="FFFFFF" w:themeColor="text1" w:themeTint="80"/>
        </w:tcBorders>
        <w:shd w:val="clear" w:color="auto" w:fill="070F26" w:themeFill="background1"/>
      </w:tcPr>
    </w:tblStylePr>
    <w:tblStylePr w:type="lastRow">
      <w:rPr>
        <w:rFonts w:asciiTheme="majorHAnsi" w:eastAsiaTheme="majorEastAsia" w:hAnsiTheme="majorHAnsi" w:cstheme="majorBidi"/>
        <w:i/>
        <w:iCs/>
        <w:sz w:val="26"/>
      </w:rPr>
      <w:tblPr/>
      <w:tcPr>
        <w:tcBorders>
          <w:top w:val="single" w:sz="4" w:space="0" w:color="FFFFFF" w:themeColor="text1" w:themeTint="80"/>
        </w:tcBorders>
        <w:shd w:val="clear" w:color="auto" w:fill="070F26"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text1" w:themeTint="80"/>
        </w:tcBorders>
        <w:shd w:val="clear" w:color="auto" w:fill="070F26" w:themeFill="background1"/>
      </w:tcPr>
    </w:tblStylePr>
    <w:tblStylePr w:type="lastCol">
      <w:rPr>
        <w:rFonts w:asciiTheme="majorHAnsi" w:eastAsiaTheme="majorEastAsia" w:hAnsiTheme="majorHAnsi" w:cstheme="majorBidi"/>
        <w:i/>
        <w:iCs/>
        <w:sz w:val="26"/>
      </w:rPr>
      <w:tblPr/>
      <w:tcPr>
        <w:tcBorders>
          <w:left w:val="single" w:sz="4" w:space="0" w:color="FFFFFF" w:themeColor="text1" w:themeTint="80"/>
        </w:tcBorders>
        <w:shd w:val="clear" w:color="auto" w:fill="070F26" w:themeFill="background1"/>
      </w:tcPr>
    </w:tblStylePr>
    <w:tblStylePr w:type="band1Vert">
      <w:tblPr/>
      <w:tcPr>
        <w:shd w:val="clear" w:color="auto" w:fill="060E24" w:themeFill="background1" w:themeFillShade="F2"/>
      </w:tcPr>
    </w:tblStylePr>
    <w:tblStylePr w:type="band1Horz">
      <w:tblPr/>
      <w:tcPr>
        <w:shd w:val="clear" w:color="auto" w:fill="060E24"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mithellemGitternetz">
    <w:name w:val="Grid Table Light"/>
    <w:basedOn w:val="NormaleTabelle"/>
    <w:uiPriority w:val="40"/>
    <w:rsid w:val="003A35DF"/>
    <w:rPr>
      <w:sz w:val="20"/>
    </w:rPr>
    <w:tblPr>
      <w:tblBorders>
        <w:top w:val="single" w:sz="4" w:space="0" w:color="949494" w:themeColor="accent6"/>
        <w:bottom w:val="single" w:sz="4" w:space="0" w:color="949494" w:themeColor="accent6"/>
        <w:insideH w:val="single" w:sz="4" w:space="0" w:color="949494" w:themeColor="accent6"/>
        <w:insideV w:val="single" w:sz="4" w:space="0" w:color="949494" w:themeColor="accent6"/>
      </w:tblBorders>
      <w:tblCellMar>
        <w:top w:w="85" w:type="dxa"/>
        <w:left w:w="85" w:type="dxa"/>
        <w:bottom w:w="85" w:type="dxa"/>
        <w:right w:w="85" w:type="dxa"/>
      </w:tblCellMar>
    </w:tblPr>
  </w:style>
  <w:style w:type="paragraph" w:customStyle="1" w:styleId="NTTDATALegalIndent">
    <w:name w:val="NTT DATA Legal Indent"/>
    <w:basedOn w:val="NTTDATALegalBody"/>
    <w:qFormat/>
    <w:rsid w:val="003F66EC"/>
    <w:pPr>
      <w:ind w:left="851"/>
    </w:pPr>
    <w:rPr>
      <w:color w:val="070F26" w:themeColor="background1"/>
    </w:rPr>
  </w:style>
  <w:style w:type="paragraph" w:styleId="Kommentarthema">
    <w:name w:val="annotation subject"/>
    <w:basedOn w:val="Kommentartext"/>
    <w:next w:val="Kommentartext"/>
    <w:link w:val="KommentarthemaZchn"/>
    <w:uiPriority w:val="99"/>
    <w:semiHidden/>
    <w:unhideWhenUsed/>
    <w:rsid w:val="00AE3C79"/>
    <w:rPr>
      <w:b/>
      <w:bCs/>
    </w:rPr>
  </w:style>
  <w:style w:type="character" w:customStyle="1" w:styleId="KommentarthemaZchn">
    <w:name w:val="Kommentarthema Zchn"/>
    <w:basedOn w:val="KommentartextZchn"/>
    <w:link w:val="Kommentarthema"/>
    <w:uiPriority w:val="99"/>
    <w:semiHidden/>
    <w:rsid w:val="00AE3C79"/>
    <w:rPr>
      <w:rFonts w:ascii="Arial" w:hAnsi="Arial"/>
      <w:b/>
      <w:bCs/>
      <w:sz w:val="20"/>
      <w:szCs w:val="20"/>
      <w:lang w:val="en-US"/>
    </w:rPr>
  </w:style>
  <w:style w:type="paragraph" w:customStyle="1" w:styleId="Classification">
    <w:name w:val="Classification"/>
    <w:basedOn w:val="Untertitel"/>
    <w:link w:val="ClassificationChar"/>
    <w:qFormat/>
    <w:rsid w:val="00AE3C79"/>
  </w:style>
  <w:style w:type="character" w:customStyle="1" w:styleId="ClassificationChar">
    <w:name w:val="Classification Char"/>
    <w:basedOn w:val="UntertitelZchn"/>
    <w:link w:val="Classification"/>
    <w:rsid w:val="00AE3C79"/>
    <w:rPr>
      <w:rFonts w:ascii="Arial" w:hAnsi="Arial"/>
      <w:sz w:val="28"/>
      <w:szCs w:val="32"/>
      <w:lang w:val="en-US"/>
    </w:rPr>
  </w:style>
  <w:style w:type="numbering" w:customStyle="1" w:styleId="NTTBlueBulletList">
    <w:name w:val="_NTT Blue Bullet List"/>
    <w:uiPriority w:val="89"/>
    <w:rsid w:val="00AE3C79"/>
    <w:pPr>
      <w:numPr>
        <w:numId w:val="9"/>
      </w:numPr>
    </w:pPr>
  </w:style>
  <w:style w:type="numbering" w:customStyle="1" w:styleId="NTTHeadingsList">
    <w:name w:val="_NTT Headings List"/>
    <w:basedOn w:val="KeineListe"/>
    <w:uiPriority w:val="89"/>
    <w:rsid w:val="00AE3C79"/>
    <w:pPr>
      <w:numPr>
        <w:numId w:val="10"/>
      </w:numPr>
    </w:pPr>
  </w:style>
  <w:style w:type="table" w:customStyle="1" w:styleId="NTTFutureBluetable">
    <w:name w:val="NTT Future Blue table"/>
    <w:basedOn w:val="Tabellenraster"/>
    <w:uiPriority w:val="99"/>
    <w:rsid w:val="006313A9"/>
    <w:pPr>
      <w:spacing w:line="264" w:lineRule="auto"/>
    </w:pPr>
    <w:rPr>
      <w:color w:val="FFFFFF" w:themeColor="text1"/>
    </w:rPr>
    <w:tblPr>
      <w:tblStyleRowBandSize w:val="1"/>
      <w:tblStyleColBandSize w:val="1"/>
      <w:tblBorders>
        <w:top w:val="single" w:sz="4" w:space="0" w:color="030712" w:themeColor="background1" w:themeShade="80"/>
        <w:bottom w:val="single" w:sz="4" w:space="0" w:color="030712" w:themeColor="background1" w:themeShade="80"/>
        <w:insideH w:val="single" w:sz="4" w:space="0" w:color="030712" w:themeColor="background1" w:themeShade="80"/>
        <w:insideV w:val="single" w:sz="4" w:space="0" w:color="030712" w:themeColor="background1" w:themeShade="80"/>
      </w:tblBorders>
      <w:tblCellMar>
        <w:top w:w="28" w:type="dxa"/>
        <w:bottom w:w="28" w:type="dxa"/>
      </w:tblCellMar>
    </w:tblPr>
    <w:trPr>
      <w:cantSplit/>
    </w:trPr>
    <w:tcPr>
      <w:shd w:val="clear" w:color="auto" w:fill="auto"/>
      <w:tcMar>
        <w:top w:w="85" w:type="dxa"/>
        <w:left w:w="85" w:type="dxa"/>
        <w:bottom w:w="85" w:type="dxa"/>
        <w:right w:w="85" w:type="dxa"/>
      </w:tcMar>
    </w:tcPr>
    <w:tblStylePr w:type="firstRow">
      <w:rPr>
        <w:b/>
        <w:color w:val="070F26" w:themeColor="background1"/>
      </w:rPr>
      <w:tblPr/>
      <w:trPr>
        <w:cantSplit w:val="0"/>
        <w:tblHeader/>
      </w:trPr>
      <w:tcPr>
        <w:shd w:val="clear" w:color="auto" w:fill="00DFED" w:themeFill="accent2"/>
      </w:tcPr>
    </w:tblStylePr>
    <w:tblStylePr w:type="lastRow">
      <w:rPr>
        <w:b/>
        <w:color w:val="auto"/>
      </w:rPr>
      <w:tblPr/>
      <w:tcPr>
        <w:shd w:val="clear" w:color="auto" w:fill="060C20" w:themeFill="background1" w:themeFillShade="D9"/>
      </w:tcPr>
    </w:tblStylePr>
    <w:tblStylePr w:type="firstCol">
      <w:rPr>
        <w:b/>
        <w:color w:val="070F26" w:themeColor="background1"/>
      </w:rPr>
      <w:tblPr/>
      <w:tcPr>
        <w:shd w:val="clear" w:color="auto" w:fill="00DFED" w:themeFill="accent2"/>
      </w:tcPr>
    </w:tblStylePr>
    <w:tblStylePr w:type="lastCol">
      <w:rPr>
        <w:b/>
      </w:rPr>
      <w:tblPr/>
      <w:tcPr>
        <w:tcBorders>
          <w:insideH w:val="single" w:sz="4" w:space="0" w:color="030712" w:themeColor="background1" w:themeShade="80"/>
          <w:insideV w:val="single" w:sz="4" w:space="0" w:color="030712" w:themeColor="background1" w:themeShade="80"/>
        </w:tcBorders>
        <w:shd w:val="clear" w:color="auto" w:fill="060C20" w:themeFill="background1" w:themeFillShade="D9"/>
      </w:tcPr>
    </w:tblStylePr>
  </w:style>
  <w:style w:type="table" w:customStyle="1" w:styleId="NTTGreen">
    <w:name w:val="NTT Green"/>
    <w:basedOn w:val="NormaleTabelle"/>
    <w:uiPriority w:val="99"/>
    <w:rsid w:val="006313A9"/>
    <w:pPr>
      <w:spacing w:line="264" w:lineRule="auto"/>
    </w:pPr>
    <w:rPr>
      <w:color w:val="FFFFFF" w:themeColor="text1"/>
    </w:rPr>
    <w:tblPr>
      <w:tblBorders>
        <w:top w:val="single" w:sz="4" w:space="0" w:color="030712" w:themeColor="background1" w:themeShade="80"/>
        <w:bottom w:val="single" w:sz="4" w:space="0" w:color="030712" w:themeColor="background1" w:themeShade="80"/>
        <w:insideH w:val="single" w:sz="4" w:space="0" w:color="030712" w:themeColor="background1" w:themeShade="80"/>
        <w:insideV w:val="single" w:sz="4" w:space="0" w:color="030712" w:themeColor="background1" w:themeShade="80"/>
      </w:tblBorders>
      <w:tblCellMar>
        <w:top w:w="85" w:type="dxa"/>
        <w:left w:w="85" w:type="dxa"/>
        <w:bottom w:w="85" w:type="dxa"/>
        <w:right w:w="85" w:type="dxa"/>
      </w:tblCellMar>
    </w:tblPr>
    <w:tblStylePr w:type="firstRow">
      <w:rPr>
        <w:b/>
        <w:color w:val="070F26" w:themeColor="background1"/>
      </w:rPr>
      <w:tblPr/>
      <w:tcPr>
        <w:shd w:val="clear" w:color="auto" w:fill="FFC400" w:themeFill="accent4"/>
      </w:tcPr>
    </w:tblStylePr>
    <w:tblStylePr w:type="lastRow">
      <w:rPr>
        <w:b/>
      </w:rPr>
      <w:tblPr/>
      <w:tcPr>
        <w:shd w:val="clear" w:color="auto" w:fill="060E24" w:themeFill="background1" w:themeFillShade="F2"/>
      </w:tcPr>
    </w:tblStylePr>
  </w:style>
  <w:style w:type="table" w:customStyle="1" w:styleId="NTTGreytable">
    <w:name w:val="NTT Grey table"/>
    <w:basedOn w:val="NormaleTabelle"/>
    <w:uiPriority w:val="99"/>
    <w:rsid w:val="006313A9"/>
    <w:rPr>
      <w:color w:val="FFFFFF" w:themeColor="text1"/>
    </w:rPr>
    <w:tblPr>
      <w:tblBorders>
        <w:top w:val="single" w:sz="4" w:space="0" w:color="030712" w:themeColor="background1" w:themeShade="80"/>
        <w:bottom w:val="single" w:sz="4" w:space="0" w:color="030712" w:themeColor="background1" w:themeShade="80"/>
        <w:insideH w:val="single" w:sz="4" w:space="0" w:color="030712" w:themeColor="background1" w:themeShade="80"/>
        <w:insideV w:val="single" w:sz="4" w:space="0" w:color="030712" w:themeColor="background1" w:themeShade="80"/>
      </w:tblBorders>
      <w:tblCellMar>
        <w:top w:w="85" w:type="dxa"/>
        <w:left w:w="85" w:type="dxa"/>
        <w:bottom w:w="85" w:type="dxa"/>
        <w:right w:w="85" w:type="dxa"/>
      </w:tblCellMar>
    </w:tblPr>
    <w:tblStylePr w:type="firstRow">
      <w:rPr>
        <w:b/>
        <w:color w:val="070F26" w:themeColor="background1"/>
      </w:rPr>
      <w:tblPr/>
      <w:tcPr>
        <w:tcBorders>
          <w:insideH w:val="single" w:sz="4" w:space="0" w:color="030712" w:themeColor="background1" w:themeShade="80"/>
          <w:insideV w:val="single" w:sz="4" w:space="0" w:color="030712" w:themeColor="background1" w:themeShade="80"/>
        </w:tcBorders>
        <w:shd w:val="clear" w:color="auto" w:fill="040918" w:themeFill="background1" w:themeFillShade="A6"/>
      </w:tcPr>
    </w:tblStylePr>
    <w:tblStylePr w:type="lastRow">
      <w:rPr>
        <w:b/>
      </w:rPr>
      <w:tblPr/>
      <w:tcPr>
        <w:shd w:val="clear" w:color="auto" w:fill="060C20" w:themeFill="background1" w:themeFillShade="D9"/>
      </w:tcPr>
    </w:tblStylePr>
  </w:style>
  <w:style w:type="paragraph" w:customStyle="1" w:styleId="NTTSmallPrint">
    <w:name w:val="NTT Small Print"/>
    <w:basedOn w:val="Standard"/>
    <w:uiPriority w:val="79"/>
    <w:unhideWhenUsed/>
    <w:rsid w:val="00F42F0F"/>
    <w:pPr>
      <w:spacing w:before="160" w:after="160"/>
    </w:pPr>
    <w:rPr>
      <w:rFonts w:eastAsia="Times New Roman" w:cs="Arial"/>
      <w:color w:val="070F26" w:themeColor="background1"/>
      <w:kern w:val="17"/>
      <w:sz w:val="17"/>
      <w:szCs w:val="20"/>
      <w:lang w:val="en-GB"/>
      <w14:ligatures w14:val="none"/>
    </w:rPr>
  </w:style>
  <w:style w:type="paragraph" w:customStyle="1" w:styleId="NTTDATATableBoldBullet">
    <w:name w:val="NTT DATA Table Bold Bullet"/>
    <w:basedOn w:val="Standard"/>
    <w:next w:val="Standard"/>
    <w:uiPriority w:val="14"/>
    <w:rsid w:val="00CA33F5"/>
    <w:pPr>
      <w:keepNext/>
      <w:keepLines/>
      <w:numPr>
        <w:ilvl w:val="3"/>
        <w:numId w:val="16"/>
      </w:numPr>
      <w:spacing w:before="160" w:after="160"/>
      <w:contextualSpacing/>
    </w:pPr>
    <w:rPr>
      <w:rFonts w:ascii="Arial Bold" w:eastAsia="Times New Roman" w:hAnsi="Arial Bold" w:cs="Tahoma"/>
      <w:b/>
      <w:color w:val="FFFFFF" w:themeColor="text1"/>
      <w:kern w:val="18"/>
      <w:szCs w:val="20"/>
      <w:lang w:val="en-GB"/>
      <w14:ligatures w14:val="none"/>
    </w:rPr>
  </w:style>
  <w:style w:type="paragraph" w:styleId="Titel">
    <w:name w:val="Title"/>
    <w:next w:val="Standard"/>
    <w:link w:val="TitelZchn"/>
    <w:uiPriority w:val="10"/>
    <w:rsid w:val="008923D1"/>
    <w:pPr>
      <w:spacing w:before="120" w:after="120"/>
      <w:contextualSpacing/>
      <w:outlineLvl w:val="0"/>
    </w:pPr>
    <w:rPr>
      <w:rFonts w:ascii="Georgia" w:eastAsiaTheme="majorEastAsia" w:hAnsi="Georgia" w:cstheme="majorBidi"/>
      <w:color w:val="0072BC" w:themeColor="background2"/>
      <w:kern w:val="28"/>
      <w:sz w:val="68"/>
      <w:szCs w:val="64"/>
      <w:lang w:val="en-US"/>
    </w:rPr>
  </w:style>
  <w:style w:type="character" w:customStyle="1" w:styleId="TitelZchn">
    <w:name w:val="Titel Zchn"/>
    <w:basedOn w:val="Absatz-Standardschriftart"/>
    <w:link w:val="Titel"/>
    <w:uiPriority w:val="10"/>
    <w:rsid w:val="008923D1"/>
    <w:rPr>
      <w:rFonts w:ascii="Georgia" w:eastAsiaTheme="majorEastAsia" w:hAnsi="Georgia" w:cstheme="majorBidi"/>
      <w:color w:val="0072BC" w:themeColor="background2"/>
      <w:kern w:val="28"/>
      <w:sz w:val="68"/>
      <w:szCs w:val="64"/>
      <w:lang w:val="en-US"/>
    </w:rPr>
  </w:style>
  <w:style w:type="paragraph" w:styleId="Verzeichnis4">
    <w:name w:val="toc 4"/>
    <w:basedOn w:val="Standard"/>
    <w:next w:val="Standard"/>
    <w:uiPriority w:val="39"/>
    <w:unhideWhenUsed/>
    <w:rsid w:val="00CE57C1"/>
    <w:pPr>
      <w:tabs>
        <w:tab w:val="right" w:leader="dot" w:pos="9628"/>
      </w:tabs>
      <w:spacing w:before="120" w:after="100"/>
      <w:ind w:left="1485" w:hanging="1485"/>
    </w:pPr>
    <w:rPr>
      <w:noProof/>
    </w:rPr>
  </w:style>
  <w:style w:type="paragraph" w:styleId="Verzeichnis5">
    <w:name w:val="toc 5"/>
    <w:basedOn w:val="Standard"/>
    <w:next w:val="Standard"/>
    <w:uiPriority w:val="39"/>
    <w:unhideWhenUsed/>
    <w:rsid w:val="00CE57C1"/>
    <w:pPr>
      <w:tabs>
        <w:tab w:val="right" w:leader="dot" w:pos="9628"/>
      </w:tabs>
      <w:spacing w:after="100"/>
      <w:ind w:left="1494" w:hanging="1494"/>
    </w:pPr>
    <w:rPr>
      <w:noProof/>
    </w:rPr>
  </w:style>
  <w:style w:type="paragraph" w:customStyle="1" w:styleId="AppendixA">
    <w:name w:val="Appendix A"/>
    <w:qFormat/>
    <w:rsid w:val="00FD04E3"/>
    <w:pPr>
      <w:tabs>
        <w:tab w:val="left" w:pos="1530"/>
      </w:tabs>
    </w:pPr>
    <w:rPr>
      <w:rFonts w:eastAsiaTheme="minorEastAsia"/>
      <w:b/>
      <w:noProof/>
      <w:color w:val="2E404D" w:themeColor="text2"/>
      <w:sz w:val="22"/>
      <w:szCs w:val="22"/>
      <w:lang w:eastAsia="en-ZA"/>
    </w:rPr>
  </w:style>
  <w:style w:type="character" w:styleId="BesuchterLink">
    <w:name w:val="FollowedHyperlink"/>
    <w:basedOn w:val="Absatz-Standardschriftart"/>
    <w:uiPriority w:val="99"/>
    <w:semiHidden/>
    <w:unhideWhenUsed/>
    <w:rsid w:val="00A11585"/>
    <w:rPr>
      <w:color w:val="0072B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909771">
      <w:bodyDiv w:val="1"/>
      <w:marLeft w:val="0"/>
      <w:marRight w:val="0"/>
      <w:marTop w:val="0"/>
      <w:marBottom w:val="0"/>
      <w:divBdr>
        <w:top w:val="none" w:sz="0" w:space="0" w:color="auto"/>
        <w:left w:val="none" w:sz="0" w:space="0" w:color="auto"/>
        <w:bottom w:val="none" w:sz="0" w:space="0" w:color="auto"/>
        <w:right w:val="none" w:sz="0" w:space="0" w:color="auto"/>
      </w:divBdr>
      <w:divsChild>
        <w:div w:id="1351183749">
          <w:marLeft w:val="0"/>
          <w:marRight w:val="0"/>
          <w:marTop w:val="0"/>
          <w:marBottom w:val="0"/>
          <w:divBdr>
            <w:top w:val="none" w:sz="0" w:space="0" w:color="auto"/>
            <w:left w:val="none" w:sz="0" w:space="0" w:color="auto"/>
            <w:bottom w:val="none" w:sz="0" w:space="0" w:color="auto"/>
            <w:right w:val="none" w:sz="0" w:space="0" w:color="auto"/>
          </w:divBdr>
          <w:divsChild>
            <w:div w:id="99956442">
              <w:marLeft w:val="0"/>
              <w:marRight w:val="0"/>
              <w:marTop w:val="0"/>
              <w:marBottom w:val="0"/>
              <w:divBdr>
                <w:top w:val="none" w:sz="0" w:space="0" w:color="auto"/>
                <w:left w:val="none" w:sz="0" w:space="0" w:color="auto"/>
                <w:bottom w:val="none" w:sz="0" w:space="0" w:color="auto"/>
                <w:right w:val="none" w:sz="0" w:space="0" w:color="auto"/>
              </w:divBdr>
              <w:divsChild>
                <w:div w:id="1969428899">
                  <w:marLeft w:val="0"/>
                  <w:marRight w:val="0"/>
                  <w:marTop w:val="0"/>
                  <w:marBottom w:val="0"/>
                  <w:divBdr>
                    <w:top w:val="none" w:sz="0" w:space="0" w:color="auto"/>
                    <w:left w:val="none" w:sz="0" w:space="0" w:color="auto"/>
                    <w:bottom w:val="none" w:sz="0" w:space="0" w:color="auto"/>
                    <w:right w:val="none" w:sz="0" w:space="0" w:color="auto"/>
                  </w:divBdr>
                  <w:divsChild>
                    <w:div w:id="18742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695946">
      <w:bodyDiv w:val="1"/>
      <w:marLeft w:val="0"/>
      <w:marRight w:val="0"/>
      <w:marTop w:val="0"/>
      <w:marBottom w:val="0"/>
      <w:divBdr>
        <w:top w:val="none" w:sz="0" w:space="0" w:color="auto"/>
        <w:left w:val="none" w:sz="0" w:space="0" w:color="auto"/>
        <w:bottom w:val="none" w:sz="0" w:space="0" w:color="auto"/>
        <w:right w:val="none" w:sz="0" w:space="0" w:color="auto"/>
      </w:divBdr>
    </w:div>
    <w:div w:id="195343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help.sap.com/docs/integration-suite/sap-integration-suite/oauth-with-client-credentials-grant-for-api-clients" TargetMode="External"/><Relationship Id="rId26" Type="http://schemas.openxmlformats.org/officeDocument/2006/relationships/hyperlink" Target="https://docs-eam.leanix.net/reference/technical-users" TargetMode="External"/><Relationship Id="rId39" Type="http://schemas.openxmlformats.org/officeDocument/2006/relationships/theme" Target="theme/theme1.xml"/><Relationship Id="rId21" Type="http://schemas.openxmlformats.org/officeDocument/2006/relationships/hyperlink" Target="https://help.sap.com/docs/cloud-integration/sap-cloud-integration/managing-user-roles-cloud-foundry-environment"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cs-eam.leanix.net/reference/technical-users" TargetMode="External"/><Relationship Id="rId25" Type="http://schemas.openxmlformats.org/officeDocument/2006/relationships/hyperlink" Target="https://help.sap.com/docs/cloud-integration/sap-cloud-integration/managing-user-roles-cloud-foundry-environment" TargetMode="External"/><Relationship Id="rId33" Type="http://schemas.openxmlformats.org/officeDocument/2006/relationships/header" Target="header3.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help.sap.com/docs/integration-suite/sap-integration-suite/oauth-with-client-credentials-grant-for-api-clients" TargetMode="External"/><Relationship Id="rId20" Type="http://schemas.openxmlformats.org/officeDocument/2006/relationships/hyperlink" Target="https://help.sap.com/docs/integration-suite/sap-integration-suite/oauth-with-client-credentials-grant-for-api-clients" TargetMode="External"/><Relationship Id="rId29" Type="http://schemas.openxmlformats.org/officeDocument/2006/relationships/hyperlink" Target="https://help.sap.com/docs/integration-suite/sap-integration-suite/oauth-with-client-credentials-grant-for-api-cli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https://help.sap.com/docs/integration-suite/sap-integration-suite/oauth-with-client-credentials-grant-for-api-client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cs-eam.leanix.net/reference/technical-users" TargetMode="External"/><Relationship Id="rId23" Type="http://schemas.openxmlformats.org/officeDocument/2006/relationships/hyperlink" Target="https://help.sap.com/docs/integration-suite/sap-integration-suite/oauth-with-client-credentials-grant-for-api-clients" TargetMode="External"/><Relationship Id="rId28" Type="http://schemas.openxmlformats.org/officeDocument/2006/relationships/hyperlink" Target="https://help.sap.com/docs/integration-suite/sap-integration-suite/oauth-with-client-credentials-grant-for-api-clients"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help.sap.com/docs/integration-suite/sap-integration-suite/oauth-with-client-credentials-grant-for-api-clients" TargetMode="External"/><Relationship Id="rId31" Type="http://schemas.openxmlformats.org/officeDocument/2006/relationships/hyperlink" Target="https://docs-eam.leanix.net/reference/technical-us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cs-eam.leanix.net/reference/technical-users" TargetMode="External"/><Relationship Id="rId27" Type="http://schemas.openxmlformats.org/officeDocument/2006/relationships/hyperlink" Target="https://help.sap.com/docs/integration-suite/sap-integration-suite/oauth-with-client-credentials-grant-for-api-clients" TargetMode="External"/><Relationship Id="rId30" Type="http://schemas.openxmlformats.org/officeDocument/2006/relationships/image" Target="media/image5.png"/><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132839\OneDrive%20-%20NTT%20DATA%20Business%20Solutions%20AG\Desktop\NTT%20DATA%20Global%20Word%20Template-v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DE6199CD4A48C594EA8AA24B9CD05C"/>
        <w:category>
          <w:name w:val="Allgemein"/>
          <w:gallery w:val="placeholder"/>
        </w:category>
        <w:types>
          <w:type w:val="bbPlcHdr"/>
        </w:types>
        <w:behaviors>
          <w:behavior w:val="content"/>
        </w:behaviors>
        <w:guid w:val="{BE91C1A2-341B-4B69-BF28-4DF4F24765DF}"/>
      </w:docPartPr>
      <w:docPartBody>
        <w:p w:rsidR="00632586" w:rsidRDefault="00632586">
          <w:pPr>
            <w:pStyle w:val="C4DE6199CD4A48C594EA8AA24B9CD05C"/>
          </w:pPr>
          <w:r w:rsidRPr="00790150">
            <w:rPr>
              <w:rStyle w:val="Platzhaltertext"/>
            </w:rPr>
            <w:t>Click or tap here to enter text.</w:t>
          </w:r>
        </w:p>
      </w:docPartBody>
    </w:docPart>
    <w:docPart>
      <w:docPartPr>
        <w:name w:val="37FC39F99D524191A441CE3E46DCAB48"/>
        <w:category>
          <w:name w:val="Allgemein"/>
          <w:gallery w:val="placeholder"/>
        </w:category>
        <w:types>
          <w:type w:val="bbPlcHdr"/>
        </w:types>
        <w:behaviors>
          <w:behavior w:val="content"/>
        </w:behaviors>
        <w:guid w:val="{4563AE1F-0DAB-4A9A-B5F4-9FDCB77B9A58}"/>
      </w:docPartPr>
      <w:docPartBody>
        <w:p w:rsidR="00632586" w:rsidRDefault="00632586">
          <w:pPr>
            <w:pStyle w:val="37FC39F99D524191A441CE3E46DCAB48"/>
          </w:pPr>
          <w:r w:rsidRPr="007C14F6">
            <w:rPr>
              <w:rStyle w:val="Platzhaltertext"/>
            </w:rPr>
            <w:t>Choose an item.</w:t>
          </w:r>
        </w:p>
      </w:docPartBody>
    </w:docPart>
    <w:docPart>
      <w:docPartPr>
        <w:name w:val="1707D935E0B3447892247BB9D42DCAEF"/>
        <w:category>
          <w:name w:val="Allgemein"/>
          <w:gallery w:val="placeholder"/>
        </w:category>
        <w:types>
          <w:type w:val="bbPlcHdr"/>
        </w:types>
        <w:behaviors>
          <w:behavior w:val="content"/>
        </w:behaviors>
        <w:guid w:val="{BC98C08B-EB01-4CC7-BD1D-7FE608A17384}"/>
      </w:docPartPr>
      <w:docPartBody>
        <w:p w:rsidR="00632586" w:rsidRDefault="00632586">
          <w:pPr>
            <w:pStyle w:val="1707D935E0B3447892247BB9D42DCAEF"/>
          </w:pPr>
          <w:r w:rsidRPr="00C14A14">
            <w:rPr>
              <w:bCs/>
              <w:lang w:val="en-GB"/>
            </w:rPr>
            <w:t>[Legal Entity Information]</w:t>
          </w:r>
        </w:p>
      </w:docPartBody>
    </w:docPart>
    <w:docPart>
      <w:docPartPr>
        <w:name w:val="FFAA5F9617F24E68AA20D50C3717AD93"/>
        <w:category>
          <w:name w:val="Allgemein"/>
          <w:gallery w:val="placeholder"/>
        </w:category>
        <w:types>
          <w:type w:val="bbPlcHdr"/>
        </w:types>
        <w:behaviors>
          <w:behavior w:val="content"/>
        </w:behaviors>
        <w:guid w:val="{44FF5521-0D42-4215-9860-5B02F0E6BCA8}"/>
      </w:docPartPr>
      <w:docPartBody>
        <w:p w:rsidR="00632586" w:rsidRDefault="00632586">
          <w:pPr>
            <w:pStyle w:val="FFAA5F9617F24E68AA20D50C3717AD93"/>
          </w:pPr>
          <w:r w:rsidRPr="007C14F6">
            <w:rPr>
              <w:rStyle w:val="Platzhaltertext"/>
            </w:rPr>
            <w:t>Choose an item.</w:t>
          </w:r>
        </w:p>
      </w:docPartBody>
    </w:docPart>
    <w:docPart>
      <w:docPartPr>
        <w:name w:val="B19383578EFC4EF19B5E89D9045C6666"/>
        <w:category>
          <w:name w:val="Allgemein"/>
          <w:gallery w:val="placeholder"/>
        </w:category>
        <w:types>
          <w:type w:val="bbPlcHdr"/>
        </w:types>
        <w:behaviors>
          <w:behavior w:val="content"/>
        </w:behaviors>
        <w:guid w:val="{81AC5B1B-CE21-4E0E-A6FA-78501EC57F43}"/>
      </w:docPartPr>
      <w:docPartBody>
        <w:p w:rsidR="00632586" w:rsidRDefault="00632586">
          <w:pPr>
            <w:pStyle w:val="B19383578EFC4EF19B5E89D9045C6666"/>
          </w:pPr>
          <w:r w:rsidRPr="00C14A14">
            <w:rPr>
              <w:bCs/>
              <w:lang w:val="en-GB"/>
            </w:rPr>
            <w:t>[Legal Entity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86"/>
    <w:rsid w:val="00207211"/>
    <w:rsid w:val="004726B0"/>
    <w:rsid w:val="00632586"/>
    <w:rsid w:val="007602ED"/>
    <w:rsid w:val="007951C7"/>
    <w:rsid w:val="00EA36F8"/>
    <w:rsid w:val="00EC2B9D"/>
    <w:rsid w:val="00F6041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C4DE6199CD4A48C594EA8AA24B9CD05C">
    <w:name w:val="C4DE6199CD4A48C594EA8AA24B9CD05C"/>
  </w:style>
  <w:style w:type="paragraph" w:customStyle="1" w:styleId="37FC39F99D524191A441CE3E46DCAB48">
    <w:name w:val="37FC39F99D524191A441CE3E46DCAB48"/>
  </w:style>
  <w:style w:type="paragraph" w:customStyle="1" w:styleId="1707D935E0B3447892247BB9D42DCAEF">
    <w:name w:val="1707D935E0B3447892247BB9D42DCAEF"/>
  </w:style>
  <w:style w:type="paragraph" w:customStyle="1" w:styleId="FFAA5F9617F24E68AA20D50C3717AD93">
    <w:name w:val="FFAA5F9617F24E68AA20D50C3717AD93"/>
  </w:style>
  <w:style w:type="paragraph" w:customStyle="1" w:styleId="B19383578EFC4EF19B5E89D9045C6666">
    <w:name w:val="B19383578EFC4EF19B5E89D9045C6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51">
      <a:dk1>
        <a:srgbClr val="FFFFFF"/>
      </a:dk1>
      <a:lt1>
        <a:srgbClr val="070F26"/>
      </a:lt1>
      <a:dk2>
        <a:srgbClr val="2E404D"/>
      </a:dk2>
      <a:lt2>
        <a:srgbClr val="0072BC"/>
      </a:lt2>
      <a:accent1>
        <a:srgbClr val="19A3FC"/>
      </a:accent1>
      <a:accent2>
        <a:srgbClr val="00DFED"/>
      </a:accent2>
      <a:accent3>
        <a:srgbClr val="00CB5D"/>
      </a:accent3>
      <a:accent4>
        <a:srgbClr val="FFC400"/>
      </a:accent4>
      <a:accent5>
        <a:srgbClr val="FF7A00"/>
      </a:accent5>
      <a:accent6>
        <a:srgbClr val="949494"/>
      </a:accent6>
      <a:hlink>
        <a:srgbClr val="005B96"/>
      </a:hlink>
      <a:folHlink>
        <a:srgbClr val="0072B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1795bec-5470-4c64-a077-21966ea2a86b" xsi:nil="true"/>
    <lcf76f155ced4ddcb4097134ff3c332f xmlns="e640c006-df09-47c8-9f17-5b08d3d764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EE3AE64097F14289A03A2461EFFFC8" ma:contentTypeVersion="18" ma:contentTypeDescription="Create a new document." ma:contentTypeScope="" ma:versionID="373b60245726ae3e6184b33906947a11">
  <xsd:schema xmlns:xsd="http://www.w3.org/2001/XMLSchema" xmlns:xs="http://www.w3.org/2001/XMLSchema" xmlns:p="http://schemas.microsoft.com/office/2006/metadata/properties" xmlns:ns2="e640c006-df09-47c8-9f17-5b08d3d76421" xmlns:ns3="a1795bec-5470-4c64-a077-21966ea2a86b" targetNamespace="http://schemas.microsoft.com/office/2006/metadata/properties" ma:root="true" ma:fieldsID="ea452212d4f542b0c98a42631ff98c55" ns2:_="" ns3:_="">
    <xsd:import namespace="e640c006-df09-47c8-9f17-5b08d3d76421"/>
    <xsd:import namespace="a1795bec-5470-4c64-a077-21966ea2a8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0c006-df09-47c8-9f17-5b08d3d76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44951b-1b3b-4f09-8d96-1e2cbb0c29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95bec-5470-4c64-a077-21966ea2a8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fbc234-76b6-4432-ba68-c4a7c234ef99}" ma:internalName="TaxCatchAll" ma:showField="CatchAllData" ma:web="a1795bec-5470-4c64-a077-21966ea2a8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D03B9-BFAB-42BE-8091-69031DD3A8CE}">
  <ds:schemaRefs>
    <ds:schemaRef ds:uri="http://schemas.openxmlformats.org/officeDocument/2006/bibliography"/>
  </ds:schemaRefs>
</ds:datastoreItem>
</file>

<file path=customXml/itemProps2.xml><?xml version="1.0" encoding="utf-8"?>
<ds:datastoreItem xmlns:ds="http://schemas.openxmlformats.org/officeDocument/2006/customXml" ds:itemID="{B6ADF4F3-5389-4261-BA50-D9C1C4EE966F}">
  <ds:schemaRefs>
    <ds:schemaRef ds:uri="http://schemas.microsoft.com/office/2006/metadata/properties"/>
    <ds:schemaRef ds:uri="http://schemas.microsoft.com/office/infopath/2007/PartnerControls"/>
    <ds:schemaRef ds:uri="a1795bec-5470-4c64-a077-21966ea2a86b"/>
    <ds:schemaRef ds:uri="e640c006-df09-47c8-9f17-5b08d3d76421"/>
  </ds:schemaRefs>
</ds:datastoreItem>
</file>

<file path=customXml/itemProps3.xml><?xml version="1.0" encoding="utf-8"?>
<ds:datastoreItem xmlns:ds="http://schemas.openxmlformats.org/officeDocument/2006/customXml" ds:itemID="{F4033E51-A133-484E-A999-B47BB42AC722}">
  <ds:schemaRefs>
    <ds:schemaRef ds:uri="http://schemas.microsoft.com/sharepoint/v3/contenttype/forms"/>
  </ds:schemaRefs>
</ds:datastoreItem>
</file>

<file path=customXml/itemProps4.xml><?xml version="1.0" encoding="utf-8"?>
<ds:datastoreItem xmlns:ds="http://schemas.openxmlformats.org/officeDocument/2006/customXml" ds:itemID="{0FFCC869-DDF2-4CA8-BC29-03CF92D00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0c006-df09-47c8-9f17-5b08d3d76421"/>
    <ds:schemaRef ds:uri="a1795bec-5470-4c64-a077-21966ea2a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4de19-0ffc-4c54-aa86-ee7274afa9d7}" enabled="0" method="" siteId="{46c4de19-0ffc-4c54-aa86-ee7274afa9d7}" removed="1"/>
</clbl:labelList>
</file>

<file path=docProps/app.xml><?xml version="1.0" encoding="utf-8"?>
<Properties xmlns="http://schemas.openxmlformats.org/officeDocument/2006/extended-properties" xmlns:vt="http://schemas.openxmlformats.org/officeDocument/2006/docPropsVTypes">
  <Template>NTT DATA Global Word Template-v03.dotx</Template>
  <TotalTime>0</TotalTime>
  <Pages>15</Pages>
  <Words>2786</Words>
  <Characters>17559</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Manager/>
  <Company>NTT DATA Business Solutions</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Logaridi, Leonard</dc:creator>
  <cp:keywords/>
  <dc:description/>
  <cp:lastModifiedBy>Logaridi, Leonard</cp:lastModifiedBy>
  <cp:revision>98</cp:revision>
  <cp:lastPrinted>2024-03-12T13:27:00Z</cp:lastPrinted>
  <dcterms:created xsi:type="dcterms:W3CDTF">2024-02-09T12:50:00Z</dcterms:created>
  <dcterms:modified xsi:type="dcterms:W3CDTF">2024-08-20T08:41:00Z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37e5cc-ed1f-4ad6-a881-35c0f1c6f3d8_Enabled">
    <vt:lpwstr>true</vt:lpwstr>
  </property>
  <property fmtid="{D5CDD505-2E9C-101B-9397-08002B2CF9AE}" pid="3" name="MSIP_Label_4637e5cc-ed1f-4ad6-a881-35c0f1c6f3d8_SetDate">
    <vt:lpwstr>2023-07-27T09:24:30Z</vt:lpwstr>
  </property>
  <property fmtid="{D5CDD505-2E9C-101B-9397-08002B2CF9AE}" pid="4" name="MSIP_Label_4637e5cc-ed1f-4ad6-a881-35c0f1c6f3d8_Method">
    <vt:lpwstr>Standard</vt:lpwstr>
  </property>
  <property fmtid="{D5CDD505-2E9C-101B-9397-08002B2CF9AE}" pid="5" name="MSIP_Label_4637e5cc-ed1f-4ad6-a881-35c0f1c6f3d8_Name">
    <vt:lpwstr>General</vt:lpwstr>
  </property>
  <property fmtid="{D5CDD505-2E9C-101B-9397-08002B2CF9AE}" pid="6" name="MSIP_Label_4637e5cc-ed1f-4ad6-a881-35c0f1c6f3d8_SiteId">
    <vt:lpwstr>e3cf3c98-a978-465f-8254-9d541eeea73c</vt:lpwstr>
  </property>
  <property fmtid="{D5CDD505-2E9C-101B-9397-08002B2CF9AE}" pid="7" name="MSIP_Label_4637e5cc-ed1f-4ad6-a881-35c0f1c6f3d8_ActionId">
    <vt:lpwstr>08988646-045d-4317-80d0-b25e5da4eed3</vt:lpwstr>
  </property>
  <property fmtid="{D5CDD505-2E9C-101B-9397-08002B2CF9AE}" pid="8" name="MSIP_Label_4637e5cc-ed1f-4ad6-a881-35c0f1c6f3d8_ContentBits">
    <vt:lpwstr>0</vt:lpwstr>
  </property>
  <property fmtid="{D5CDD505-2E9C-101B-9397-08002B2CF9AE}" pid="9" name="Client">
    <vt:lpwstr/>
  </property>
  <property fmtid="{D5CDD505-2E9C-101B-9397-08002B2CF9AE}" pid="10" name="Security">
    <vt:lpwstr>General</vt:lpwstr>
  </property>
  <property fmtid="{D5CDD505-2E9C-101B-9397-08002B2CF9AE}" pid="11" name="ContentTypeId">
    <vt:lpwstr>0x010100BDEE3AE64097F14289A03A2461EFFFC8</vt:lpwstr>
  </property>
  <property fmtid="{D5CDD505-2E9C-101B-9397-08002B2CF9AE}" pid="12" name="_dlc_DocIdItemGuid">
    <vt:lpwstr>f40f45ac-4477-4c90-a82f-ef0710930987</vt:lpwstr>
  </property>
  <property fmtid="{D5CDD505-2E9C-101B-9397-08002B2CF9AE}" pid="13" name="MSIP_Label_defa4170-0d19-0005-0004-bc88714345d2_Enabled">
    <vt:lpwstr>true</vt:lpwstr>
  </property>
  <property fmtid="{D5CDD505-2E9C-101B-9397-08002B2CF9AE}" pid="14" name="MSIP_Label_defa4170-0d19-0005-0004-bc88714345d2_SetDate">
    <vt:lpwstr>2023-12-12T14:07:12Z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0c04581c-5044-411c-9911-636d102879c5</vt:lpwstr>
  </property>
  <property fmtid="{D5CDD505-2E9C-101B-9397-08002B2CF9AE}" pid="18" name="MSIP_Label_defa4170-0d19-0005-0004-bc88714345d2_ActionId">
    <vt:lpwstr>c0e77592-857b-40a4-b63d-eb068cb52261</vt:lpwstr>
  </property>
  <property fmtid="{D5CDD505-2E9C-101B-9397-08002B2CF9AE}" pid="19" name="MSIP_Label_defa4170-0d19-0005-0004-bc88714345d2_ContentBits">
    <vt:lpwstr>0</vt:lpwstr>
  </property>
</Properties>
</file>