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60" w:rsidRPr="00D97860" w:rsidRDefault="00D97860" w:rsidP="00D97860">
      <w:pPr>
        <w:shd w:val="clear" w:color="auto" w:fill="FFFFFF"/>
        <w:spacing w:after="0" w:line="240" w:lineRule="auto"/>
        <w:rPr>
          <w:rFonts w:eastAsia="Times New Roman" w:cs="Arial"/>
          <w:color w:val="444444"/>
        </w:rPr>
      </w:pPr>
      <w:r w:rsidRPr="00D97860">
        <w:rPr>
          <w:rFonts w:eastAsia="Times New Roman" w:cs="Arial"/>
          <w:b/>
          <w:bCs/>
          <w:color w:val="444444"/>
          <w:bdr w:val="none" w:sz="0" w:space="0" w:color="auto" w:frame="1"/>
        </w:rPr>
        <w:t>Motivation:</w:t>
      </w:r>
    </w:p>
    <w:p w:rsidR="00D97860" w:rsidRPr="00D97860" w:rsidRDefault="00D97860" w:rsidP="00D97860">
      <w:pPr>
        <w:shd w:val="clear" w:color="auto" w:fill="FFFFFF"/>
        <w:spacing w:after="180" w:line="240" w:lineRule="auto"/>
        <w:rPr>
          <w:rFonts w:eastAsia="Times New Roman" w:cs="Arial"/>
          <w:color w:val="444444"/>
        </w:rPr>
      </w:pPr>
      <w:r w:rsidRPr="00D97860">
        <w:rPr>
          <w:rFonts w:eastAsia="Times New Roman" w:cs="Arial"/>
          <w:color w:val="444444"/>
        </w:rPr>
        <w:t>Following a standard in content layout design fosters ease of maintenance.</w:t>
      </w:r>
    </w:p>
    <w:p w:rsidR="00D97860" w:rsidRPr="00D97860" w:rsidRDefault="00D97860" w:rsidP="00D97860">
      <w:pPr>
        <w:shd w:val="clear" w:color="auto" w:fill="FFFFFF"/>
        <w:spacing w:after="0" w:line="240" w:lineRule="auto"/>
        <w:rPr>
          <w:rFonts w:eastAsia="Times New Roman" w:cs="Arial"/>
          <w:color w:val="444444"/>
        </w:rPr>
      </w:pPr>
      <w:r w:rsidRPr="00D97860">
        <w:rPr>
          <w:rFonts w:eastAsia="Times New Roman" w:cs="Arial"/>
          <w:b/>
          <w:bCs/>
          <w:color w:val="444444"/>
          <w:bdr w:val="none" w:sz="0" w:space="0" w:color="auto" w:frame="1"/>
        </w:rPr>
        <w:t>Guidelines:</w:t>
      </w:r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r w:rsidRPr="00D97860">
        <w:rPr>
          <w:rFonts w:eastAsia="Times New Roman" w:cs="Arial"/>
          <w:color w:val="545454"/>
        </w:rPr>
        <w:t>Always keep the flow direction from left to right. The sender always comes on the left and the receiver on right.</w:t>
      </w:r>
      <w:r>
        <w:rPr>
          <w:rFonts w:eastAsia="Times New Roman" w:cs="Arial"/>
          <w:color w:val="545454"/>
        </w:rPr>
        <w:br/>
      </w:r>
      <w:r w:rsidRPr="00D97860">
        <w:rPr>
          <w:rFonts w:eastAsia="Times New Roman" w:cs="Arial"/>
          <w:color w:val="545454"/>
        </w:rPr>
        <w:br/>
      </w:r>
      <w:r w:rsidRPr="00D97860">
        <w:rPr>
          <w:rFonts w:eastAsia="Times New Roman" w:cs="Arial"/>
          <w:noProof/>
          <w:color w:val="545454"/>
        </w:rPr>
        <w:drawing>
          <wp:inline distT="0" distB="0" distL="0" distR="0">
            <wp:extent cx="4875152" cy="1509130"/>
            <wp:effectExtent l="0" t="0" r="1905" b="0"/>
            <wp:docPr id="7" name="Picture 7" descr="https://blogs.sap.com/wp-content/uploads/2017/04/LeftTo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s.sap.com/wp-content/uploads/2017/04/LeftToRigh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392" cy="151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545454"/>
        </w:rPr>
        <w:br/>
      </w:r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r w:rsidRPr="00D97860">
        <w:rPr>
          <w:rFonts w:eastAsia="Times New Roman" w:cs="Arial"/>
          <w:color w:val="545454"/>
        </w:rPr>
        <w:t>Try to avoid overlapping sequence flows</w:t>
      </w:r>
    </w:p>
    <w:p w:rsidR="00D97860" w:rsidRPr="00D97860" w:rsidRDefault="00D97860" w:rsidP="00D97860">
      <w:pPr>
        <w:shd w:val="clear" w:color="auto" w:fill="FFFFFF"/>
        <w:spacing w:after="180" w:line="240" w:lineRule="auto"/>
        <w:ind w:left="360"/>
        <w:rPr>
          <w:rFonts w:eastAsia="Times New Roman" w:cs="Arial"/>
          <w:color w:val="444444"/>
        </w:rPr>
      </w:pPr>
      <w:r w:rsidRPr="00D97860">
        <w:rPr>
          <w:rFonts w:eastAsia="Times New Roman" w:cs="Arial"/>
          <w:noProof/>
          <w:color w:val="444444"/>
        </w:rPr>
        <w:drawing>
          <wp:inline distT="0" distB="0" distL="0" distR="0">
            <wp:extent cx="3182620" cy="1676400"/>
            <wp:effectExtent l="0" t="0" r="0" b="0"/>
            <wp:docPr id="6" name="Picture 6" descr="https://blogs.sap.com/wp-content/uploads/2017/04/overlapp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s.sap.com/wp-content/uploads/2017/04/overlapping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r w:rsidRPr="00D97860">
        <w:rPr>
          <w:rFonts w:eastAsia="Times New Roman" w:cs="Arial"/>
          <w:color w:val="545454"/>
        </w:rPr>
        <w:t>Avoid kinks (or confusing twist/turns) in the sequence and message flow connectors – try to keep them as straight as possible.</w:t>
      </w:r>
    </w:p>
    <w:p w:rsidR="00D97860" w:rsidRPr="00D97860" w:rsidRDefault="00D97860" w:rsidP="00D97860">
      <w:pPr>
        <w:shd w:val="clear" w:color="auto" w:fill="FFFFFF"/>
        <w:spacing w:after="180" w:line="240" w:lineRule="auto"/>
        <w:ind w:left="720"/>
        <w:rPr>
          <w:rFonts w:eastAsia="Times New Roman" w:cs="Arial"/>
          <w:color w:val="444444"/>
        </w:rPr>
      </w:pPr>
      <w:r w:rsidRPr="00D97860">
        <w:rPr>
          <w:rFonts w:eastAsia="Times New Roman" w:cs="Arial"/>
          <w:noProof/>
          <w:color w:val="444444"/>
        </w:rPr>
        <w:drawing>
          <wp:inline distT="0" distB="0" distL="0" distR="0">
            <wp:extent cx="3810000" cy="1705610"/>
            <wp:effectExtent l="0" t="0" r="0" b="8890"/>
            <wp:docPr id="5" name="Picture 5" descr="https://blogs.sap.com/wp-content/uploads/2017/04/Kin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s.sap.com/wp-content/uploads/2017/04/Kin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60" w:rsidRDefault="00D97860" w:rsidP="00D97860">
      <w:pPr>
        <w:shd w:val="clear" w:color="auto" w:fill="FFFFFF"/>
        <w:spacing w:after="180" w:line="240" w:lineRule="auto"/>
        <w:ind w:left="720"/>
        <w:rPr>
          <w:rFonts w:eastAsia="Times New Roman" w:cs="Arial"/>
          <w:color w:val="444444"/>
        </w:rPr>
      </w:pPr>
      <w:r w:rsidRPr="00D97860">
        <w:rPr>
          <w:rFonts w:eastAsia="Times New Roman" w:cs="Arial"/>
          <w:noProof/>
          <w:color w:val="444444"/>
        </w:rPr>
        <w:lastRenderedPageBreak/>
        <w:drawing>
          <wp:inline distT="0" distB="0" distL="0" distR="0">
            <wp:extent cx="3775075" cy="1717675"/>
            <wp:effectExtent l="0" t="0" r="0" b="0"/>
            <wp:docPr id="4" name="Picture 4" descr="https://blogs.sap.com/wp-content/uploads/2017/04/Kink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s.sap.com/wp-content/uploads/2017/04/Kinks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60" w:rsidRPr="00D97860" w:rsidRDefault="00D97860" w:rsidP="00D97860">
      <w:pPr>
        <w:shd w:val="clear" w:color="auto" w:fill="FFFFFF"/>
        <w:spacing w:after="180" w:line="240" w:lineRule="auto"/>
        <w:ind w:left="720"/>
        <w:rPr>
          <w:rFonts w:eastAsia="Times New Roman" w:cs="Arial"/>
          <w:color w:val="444444"/>
        </w:rPr>
      </w:pPr>
      <w:r w:rsidRPr="00D97860">
        <w:rPr>
          <w:rFonts w:eastAsia="Times New Roman" w:cs="Arial"/>
          <w:noProof/>
          <w:color w:val="444444"/>
        </w:rPr>
        <w:drawing>
          <wp:inline distT="0" distB="0" distL="0" distR="0">
            <wp:extent cx="3393831" cy="1629039"/>
            <wp:effectExtent l="0" t="0" r="0" b="9525"/>
            <wp:docPr id="3" name="Picture 3" descr="https://blogs.sap.com/wp-content/uploads/2017/04/Kink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ogs.sap.com/wp-content/uploads/2017/04/Kinks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930" cy="163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r w:rsidRPr="00D97860">
        <w:rPr>
          <w:rFonts w:eastAsia="Times New Roman" w:cs="Arial"/>
          <w:color w:val="545454"/>
        </w:rPr>
        <w:t>Avoid overlapping process steps – in case you need many process steps, try expanding the canvas and arrange the process steps neatly.</w:t>
      </w:r>
    </w:p>
    <w:p w:rsidR="00D97860" w:rsidRPr="00D97860" w:rsidRDefault="00D97860" w:rsidP="00D97860">
      <w:pPr>
        <w:shd w:val="clear" w:color="auto" w:fill="FFFFFF"/>
        <w:spacing w:after="180" w:line="240" w:lineRule="auto"/>
        <w:ind w:left="720"/>
        <w:rPr>
          <w:rFonts w:eastAsia="Times New Roman" w:cs="Arial"/>
          <w:color w:val="444444"/>
        </w:rPr>
      </w:pPr>
      <w:r w:rsidRPr="00D97860">
        <w:rPr>
          <w:rFonts w:eastAsia="Times New Roman" w:cs="Arial"/>
          <w:noProof/>
          <w:color w:val="444444"/>
        </w:rPr>
        <w:drawing>
          <wp:inline distT="0" distB="0" distL="0" distR="0">
            <wp:extent cx="4017982" cy="1629508"/>
            <wp:effectExtent l="0" t="0" r="1905" b="8890"/>
            <wp:docPr id="2" name="Picture 2" descr="https://blogs.sap.com/wp-content/uploads/2017/04/OverlappingProcessSt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logs.sap.com/wp-content/uploads/2017/04/OverlappingProcessStep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65" cy="163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r w:rsidRPr="00D97860">
        <w:rPr>
          <w:rFonts w:eastAsia="Times New Roman" w:cs="Arial"/>
          <w:color w:val="545454"/>
        </w:rPr>
        <w:t>Modularize wherever possible – in case of complex logics, try to break it down into small, easy to understand modules. Move the logic of each module into a sub-process. Name the sub-process appropriately to describe the module’s operation.</w:t>
      </w:r>
    </w:p>
    <w:p w:rsidR="00D97860" w:rsidRPr="00D97860" w:rsidRDefault="00D97860" w:rsidP="00D97860">
      <w:pPr>
        <w:shd w:val="clear" w:color="auto" w:fill="FFFFFF"/>
        <w:spacing w:after="180" w:line="240" w:lineRule="auto"/>
        <w:ind w:left="720"/>
        <w:rPr>
          <w:rFonts w:eastAsia="Times New Roman" w:cs="Arial"/>
          <w:color w:val="444444"/>
        </w:rPr>
      </w:pPr>
      <w:r w:rsidRPr="00D97860">
        <w:rPr>
          <w:rFonts w:eastAsia="Times New Roman" w:cs="Arial"/>
          <w:noProof/>
          <w:color w:val="444444"/>
        </w:rPr>
        <w:lastRenderedPageBreak/>
        <w:drawing>
          <wp:inline distT="0" distB="0" distL="0" distR="0">
            <wp:extent cx="4744957" cy="1594339"/>
            <wp:effectExtent l="0" t="0" r="0" b="6350"/>
            <wp:docPr id="1" name="Picture 1" descr="https://blogs.sap.com/wp-content/uploads/2017/04/Mod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logs.sap.com/wp-content/uploads/2017/04/Modu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990" cy="159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60" w:rsidRPr="00D97860" w:rsidRDefault="00D97860" w:rsidP="00D97860">
      <w:pPr>
        <w:shd w:val="clear" w:color="auto" w:fill="FFFFFF"/>
        <w:spacing w:after="180" w:line="240" w:lineRule="auto"/>
        <w:rPr>
          <w:rFonts w:eastAsia="Times New Roman" w:cs="Arial"/>
          <w:color w:val="444444"/>
        </w:rPr>
      </w:pPr>
      <w:r w:rsidRPr="00D97860">
        <w:rPr>
          <w:rFonts w:eastAsia="Times New Roman" w:cs="Arial"/>
          <w:color w:val="444444"/>
        </w:rPr>
        <w:t> </w:t>
      </w:r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r w:rsidRPr="00D97860">
        <w:rPr>
          <w:rFonts w:eastAsia="Times New Roman" w:cs="Arial"/>
          <w:color w:val="545454"/>
        </w:rPr>
        <w:t>Do not mix multiple transformations in a single script or sub-process – one sub-process should only contain the logic for one function.</w:t>
      </w:r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proofErr w:type="spellStart"/>
      <w:r w:rsidRPr="00D97860">
        <w:rPr>
          <w:rFonts w:eastAsia="Times New Roman" w:cs="Arial"/>
          <w:color w:val="545454"/>
        </w:rPr>
        <w:t>Undeploy</w:t>
      </w:r>
      <w:proofErr w:type="spellEnd"/>
      <w:r w:rsidRPr="00D97860">
        <w:rPr>
          <w:rFonts w:eastAsia="Times New Roman" w:cs="Arial"/>
          <w:color w:val="545454"/>
        </w:rPr>
        <w:t xml:space="preserve"> unwanted and unused flow from your tenant.</w:t>
      </w:r>
    </w:p>
    <w:p w:rsidR="00D97860" w:rsidRPr="00D97860" w:rsidRDefault="00D97860" w:rsidP="00D97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545454"/>
        </w:rPr>
      </w:pPr>
      <w:r w:rsidRPr="00D97860">
        <w:rPr>
          <w:rFonts w:eastAsia="Times New Roman" w:cs="Arial"/>
          <w:color w:val="545454"/>
        </w:rPr>
        <w:t>Do not assign the whole XML message to a header or a property unless necessary. Clear it once done.</w:t>
      </w:r>
    </w:p>
    <w:p w:rsidR="00362BC6" w:rsidRPr="00D97860" w:rsidRDefault="00362BC6"/>
    <w:sectPr w:rsidR="00362BC6" w:rsidRPr="00D97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5EF6"/>
    <w:multiLevelType w:val="multilevel"/>
    <w:tmpl w:val="C1521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24147"/>
    <w:multiLevelType w:val="multilevel"/>
    <w:tmpl w:val="C1521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ED"/>
    <w:rsid w:val="00064F71"/>
    <w:rsid w:val="00362BC6"/>
    <w:rsid w:val="005948ED"/>
    <w:rsid w:val="00D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E05E"/>
  <w15:chartTrackingRefBased/>
  <w15:docId w15:val="{B78DE182-E98A-4E88-8DE6-8900C044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2</cp:revision>
  <dcterms:created xsi:type="dcterms:W3CDTF">2017-06-19T09:22:00Z</dcterms:created>
  <dcterms:modified xsi:type="dcterms:W3CDTF">2017-06-19T09:27:00Z</dcterms:modified>
</cp:coreProperties>
</file>